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DAD3DE" w14:textId="65F289AC" w:rsidR="000B641D" w:rsidRDefault="00E039D2" w:rsidP="00F510BB">
      <w:pPr>
        <w:tabs>
          <w:tab w:val="left" w:pos="5387"/>
        </w:tabs>
        <w:spacing w:after="266"/>
        <w:ind w:left="1243"/>
      </w:pPr>
      <w:bookmarkStart w:id="0" w:name="_GoBack"/>
      <w:bookmarkEnd w:id="0"/>
      <w:r>
        <w:t xml:space="preserve">  </w:t>
      </w:r>
      <w:r w:rsidR="00F83F19">
        <w:rPr>
          <w:noProof/>
        </w:rPr>
        <w:drawing>
          <wp:inline distT="0" distB="0" distL="0" distR="0" wp14:anchorId="5D6A7E41" wp14:editId="597A6385">
            <wp:extent cx="609600" cy="615315"/>
            <wp:effectExtent l="0" t="0" r="0" b="0"/>
            <wp:docPr id="3091" name="Picture 30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1" name="Picture 309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9982" cy="615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510BB">
        <w:tab/>
      </w:r>
      <w:r w:rsidR="00B663E4">
        <w:t xml:space="preserve">        </w:t>
      </w:r>
      <w:r w:rsidR="00ED1491" w:rsidRPr="00825CA7">
        <w:t>Warszawa,</w:t>
      </w:r>
      <w:r w:rsidR="00B663E4">
        <w:t xml:space="preserve">  1 września </w:t>
      </w:r>
      <w:r w:rsidR="00AB2FE7" w:rsidRPr="00825CA7">
        <w:t xml:space="preserve"> 2020 r.</w:t>
      </w:r>
      <w:r w:rsidR="00ED1491" w:rsidRPr="00ED1491">
        <w:t xml:space="preserve">        </w:t>
      </w:r>
    </w:p>
    <w:p w14:paraId="25FECF3B" w14:textId="77777777" w:rsidR="000B641D" w:rsidRDefault="00A72014" w:rsidP="00E039D2">
      <w:pPr>
        <w:spacing w:after="249" w:line="249" w:lineRule="auto"/>
        <w:ind w:left="-590" w:right="4547"/>
        <w:jc w:val="center"/>
        <w:rPr>
          <w:b/>
          <w:i/>
          <w:color w:val="878887"/>
          <w:sz w:val="24"/>
        </w:rPr>
      </w:pPr>
      <w:r>
        <w:rPr>
          <w:rFonts w:ascii="Times New Roman" w:eastAsia="Times New Roman" w:hAnsi="Times New Roman" w:cs="Times New Roman"/>
          <w:color w:val="181717"/>
        </w:rPr>
        <w:t>MINISTER DO SPRAW UNII EUROPEJSKIEJ</w:t>
      </w:r>
    </w:p>
    <w:p w14:paraId="3B60CD45" w14:textId="77777777" w:rsidR="00A72014" w:rsidRDefault="00A72014" w:rsidP="00E039D2">
      <w:pPr>
        <w:spacing w:after="249" w:line="249" w:lineRule="auto"/>
        <w:ind w:left="-590" w:right="4547"/>
        <w:jc w:val="center"/>
        <w:rPr>
          <w:b/>
          <w:i/>
          <w:color w:val="878887"/>
          <w:sz w:val="24"/>
        </w:rPr>
      </w:pPr>
      <w:r>
        <w:rPr>
          <w:b/>
          <w:i/>
          <w:color w:val="878887"/>
          <w:sz w:val="24"/>
        </w:rPr>
        <w:t>Konrad Szymański</w:t>
      </w:r>
    </w:p>
    <w:p w14:paraId="0BAFAACF" w14:textId="77777777" w:rsidR="009B1ED8" w:rsidRDefault="009B1ED8" w:rsidP="0036308D">
      <w:pPr>
        <w:spacing w:after="0" w:line="240" w:lineRule="auto"/>
        <w:ind w:right="-45"/>
        <w:jc w:val="both"/>
        <w:rPr>
          <w:b/>
          <w:i/>
          <w:color w:val="878887"/>
          <w:sz w:val="24"/>
        </w:rPr>
      </w:pPr>
    </w:p>
    <w:p w14:paraId="6D387966" w14:textId="74246FB1" w:rsidR="00AB4149" w:rsidRPr="00F25B1A" w:rsidRDefault="0036308D" w:rsidP="003B2323">
      <w:pPr>
        <w:spacing w:after="0" w:line="240" w:lineRule="auto"/>
        <w:ind w:left="-142" w:right="-45"/>
        <w:jc w:val="both"/>
        <w:rPr>
          <w:rFonts w:asciiTheme="minorHAnsi" w:hAnsiTheme="minorHAnsi" w:cs="Times New Roman"/>
          <w:color w:val="auto"/>
          <w:sz w:val="24"/>
          <w:szCs w:val="24"/>
        </w:rPr>
      </w:pPr>
      <w:r w:rsidRPr="00780D6B">
        <w:rPr>
          <w:rFonts w:asciiTheme="minorHAnsi" w:hAnsiTheme="minorHAnsi" w:cs="Times New Roman"/>
          <w:color w:val="auto"/>
          <w:sz w:val="24"/>
          <w:szCs w:val="24"/>
        </w:rPr>
        <w:t xml:space="preserve">Sygn. </w:t>
      </w:r>
      <w:r w:rsidR="00276C00" w:rsidRPr="00F25B1A">
        <w:rPr>
          <w:rFonts w:asciiTheme="minorHAnsi" w:hAnsiTheme="minorHAnsi" w:cs="Times New Roman"/>
          <w:color w:val="auto"/>
          <w:sz w:val="24"/>
          <w:szCs w:val="24"/>
        </w:rPr>
        <w:t>KPDPUE.920.</w:t>
      </w:r>
      <w:r w:rsidR="002A227C">
        <w:rPr>
          <w:rFonts w:asciiTheme="minorHAnsi" w:hAnsiTheme="minorHAnsi" w:cs="Times New Roman"/>
          <w:color w:val="auto"/>
          <w:sz w:val="24"/>
          <w:szCs w:val="24"/>
        </w:rPr>
        <w:t>815</w:t>
      </w:r>
      <w:r w:rsidR="00276C00" w:rsidRPr="00F25B1A">
        <w:rPr>
          <w:rFonts w:asciiTheme="minorHAnsi" w:hAnsiTheme="minorHAnsi" w:cs="Times New Roman"/>
          <w:color w:val="auto"/>
          <w:sz w:val="24"/>
          <w:szCs w:val="24"/>
        </w:rPr>
        <w:t>.2020.</w:t>
      </w:r>
      <w:r w:rsidR="002A227C">
        <w:rPr>
          <w:rFonts w:asciiTheme="minorHAnsi" w:hAnsiTheme="minorHAnsi" w:cs="Times New Roman"/>
          <w:color w:val="auto"/>
          <w:sz w:val="24"/>
          <w:szCs w:val="24"/>
        </w:rPr>
        <w:t>EBK(</w:t>
      </w:r>
      <w:r w:rsidR="007E6CA6" w:rsidRPr="00F25B1A">
        <w:rPr>
          <w:rFonts w:asciiTheme="minorHAnsi" w:hAnsiTheme="minorHAnsi" w:cs="Times New Roman"/>
          <w:color w:val="auto"/>
          <w:sz w:val="24"/>
          <w:szCs w:val="24"/>
        </w:rPr>
        <w:t>2</w:t>
      </w:r>
      <w:r w:rsidR="00276C00" w:rsidRPr="00F25B1A">
        <w:rPr>
          <w:rFonts w:asciiTheme="minorHAnsi" w:hAnsiTheme="minorHAnsi" w:cs="Times New Roman"/>
          <w:color w:val="auto"/>
          <w:sz w:val="24"/>
          <w:szCs w:val="24"/>
        </w:rPr>
        <w:t>)</w:t>
      </w:r>
    </w:p>
    <w:p w14:paraId="2A9632B8" w14:textId="683FBA78" w:rsidR="0036308D" w:rsidRPr="007E6CA6" w:rsidRDefault="0036308D" w:rsidP="003B2323">
      <w:pPr>
        <w:spacing w:after="0" w:line="240" w:lineRule="auto"/>
        <w:ind w:left="-142" w:right="-45"/>
        <w:jc w:val="both"/>
        <w:rPr>
          <w:rFonts w:asciiTheme="minorHAnsi" w:hAnsiTheme="minorHAnsi" w:cs="Times New Roman"/>
          <w:color w:val="auto"/>
          <w:sz w:val="24"/>
          <w:szCs w:val="24"/>
        </w:rPr>
      </w:pPr>
      <w:r w:rsidRPr="007E6CA6">
        <w:rPr>
          <w:rFonts w:asciiTheme="minorHAnsi" w:hAnsiTheme="minorHAnsi" w:cs="Times New Roman"/>
          <w:color w:val="auto"/>
          <w:sz w:val="24"/>
          <w:szCs w:val="24"/>
        </w:rPr>
        <w:t xml:space="preserve">dot.: </w:t>
      </w:r>
      <w:r w:rsidR="00A36359">
        <w:rPr>
          <w:rFonts w:asciiTheme="minorHAnsi" w:hAnsiTheme="minorHAnsi" w:cs="Times New Roman"/>
          <w:color w:val="auto"/>
          <w:sz w:val="24"/>
          <w:szCs w:val="24"/>
        </w:rPr>
        <w:t>D</w:t>
      </w:r>
      <w:r w:rsidR="0089234C">
        <w:rPr>
          <w:rFonts w:asciiTheme="minorHAnsi" w:hAnsiTheme="minorHAnsi" w:cs="Times New Roman"/>
          <w:color w:val="auto"/>
          <w:sz w:val="24"/>
          <w:szCs w:val="24"/>
        </w:rPr>
        <w:t>P</w:t>
      </w:r>
      <w:r w:rsidR="00D03C87">
        <w:rPr>
          <w:rFonts w:asciiTheme="minorHAnsi" w:hAnsiTheme="minorHAnsi" w:cs="Times New Roman"/>
          <w:color w:val="auto"/>
          <w:sz w:val="24"/>
          <w:szCs w:val="24"/>
        </w:rPr>
        <w:t xml:space="preserve">-WLM-0231-77/2020/EMis </w:t>
      </w:r>
      <w:r w:rsidR="00F510BB" w:rsidRPr="007E6CA6">
        <w:rPr>
          <w:rFonts w:asciiTheme="minorHAnsi" w:hAnsiTheme="minorHAnsi" w:cs="Times New Roman"/>
          <w:color w:val="auto"/>
          <w:sz w:val="24"/>
          <w:szCs w:val="24"/>
        </w:rPr>
        <w:t xml:space="preserve"> </w:t>
      </w:r>
      <w:r w:rsidRPr="007E6CA6">
        <w:rPr>
          <w:rFonts w:asciiTheme="minorHAnsi" w:hAnsiTheme="minorHAnsi" w:cs="Times New Roman"/>
          <w:color w:val="auto"/>
          <w:sz w:val="24"/>
          <w:szCs w:val="24"/>
        </w:rPr>
        <w:t>z</w:t>
      </w:r>
      <w:r w:rsidR="003B2323" w:rsidRPr="007E6CA6">
        <w:rPr>
          <w:rFonts w:asciiTheme="minorHAnsi" w:hAnsiTheme="minorHAnsi" w:cs="Times New Roman"/>
          <w:color w:val="auto"/>
          <w:sz w:val="24"/>
          <w:szCs w:val="24"/>
        </w:rPr>
        <w:t xml:space="preserve"> </w:t>
      </w:r>
      <w:r w:rsidR="00A36359">
        <w:rPr>
          <w:rFonts w:asciiTheme="minorHAnsi" w:hAnsiTheme="minorHAnsi" w:cs="Times New Roman"/>
          <w:color w:val="auto"/>
          <w:sz w:val="24"/>
          <w:szCs w:val="24"/>
        </w:rPr>
        <w:t>1</w:t>
      </w:r>
      <w:r w:rsidR="00D03C87">
        <w:rPr>
          <w:rFonts w:asciiTheme="minorHAnsi" w:hAnsiTheme="minorHAnsi" w:cs="Times New Roman"/>
          <w:color w:val="auto"/>
          <w:sz w:val="24"/>
          <w:szCs w:val="24"/>
        </w:rPr>
        <w:t>2</w:t>
      </w:r>
      <w:r w:rsidR="003B2323" w:rsidRPr="007E6CA6">
        <w:rPr>
          <w:rFonts w:asciiTheme="minorHAnsi" w:hAnsiTheme="minorHAnsi" w:cs="Times New Roman"/>
          <w:color w:val="auto"/>
          <w:sz w:val="24"/>
          <w:szCs w:val="24"/>
        </w:rPr>
        <w:t>.</w:t>
      </w:r>
      <w:r w:rsidR="00120030">
        <w:rPr>
          <w:rFonts w:asciiTheme="minorHAnsi" w:hAnsiTheme="minorHAnsi" w:cs="Times New Roman"/>
          <w:color w:val="auto"/>
          <w:sz w:val="24"/>
          <w:szCs w:val="24"/>
        </w:rPr>
        <w:t>0</w:t>
      </w:r>
      <w:r w:rsidR="00A36359">
        <w:rPr>
          <w:rFonts w:asciiTheme="minorHAnsi" w:hAnsiTheme="minorHAnsi" w:cs="Times New Roman"/>
          <w:color w:val="auto"/>
          <w:sz w:val="24"/>
          <w:szCs w:val="24"/>
        </w:rPr>
        <w:t>8</w:t>
      </w:r>
      <w:r w:rsidR="003B2323" w:rsidRPr="007E6CA6">
        <w:rPr>
          <w:rFonts w:asciiTheme="minorHAnsi" w:hAnsiTheme="minorHAnsi" w:cs="Times New Roman"/>
          <w:color w:val="auto"/>
          <w:sz w:val="24"/>
          <w:szCs w:val="24"/>
        </w:rPr>
        <w:t xml:space="preserve">.2020 </w:t>
      </w:r>
      <w:r w:rsidRPr="007E6CA6">
        <w:rPr>
          <w:rFonts w:asciiTheme="minorHAnsi" w:hAnsiTheme="minorHAnsi" w:cs="Times New Roman"/>
          <w:color w:val="auto"/>
          <w:sz w:val="24"/>
          <w:szCs w:val="24"/>
        </w:rPr>
        <w:t>r.</w:t>
      </w:r>
    </w:p>
    <w:p w14:paraId="66842D8D" w14:textId="64883D96" w:rsidR="00AB2FE7" w:rsidRDefault="0036308D" w:rsidP="000751FB">
      <w:pPr>
        <w:spacing w:after="0" w:line="240" w:lineRule="auto"/>
        <w:ind w:left="-426"/>
        <w:rPr>
          <w:rFonts w:eastAsia="Times New Roman" w:cs="Times New Roman"/>
          <w:b/>
          <w:color w:val="auto"/>
          <w:sz w:val="24"/>
          <w:szCs w:val="24"/>
        </w:rPr>
      </w:pPr>
      <w:r w:rsidRPr="007E6CA6">
        <w:rPr>
          <w:rFonts w:asciiTheme="minorHAnsi" w:hAnsiTheme="minorHAnsi" w:cs="Times New Roman"/>
          <w:color w:val="auto"/>
          <w:sz w:val="24"/>
          <w:szCs w:val="24"/>
        </w:rPr>
        <w:tab/>
      </w:r>
      <w:r w:rsidRPr="007E6CA6">
        <w:rPr>
          <w:rFonts w:asciiTheme="minorHAnsi" w:hAnsiTheme="minorHAnsi" w:cs="Times New Roman"/>
          <w:color w:val="auto"/>
          <w:sz w:val="24"/>
          <w:szCs w:val="24"/>
        </w:rPr>
        <w:tab/>
      </w:r>
      <w:r w:rsidRPr="007E6CA6">
        <w:rPr>
          <w:rFonts w:asciiTheme="minorHAnsi" w:hAnsiTheme="minorHAnsi" w:cs="Times New Roman"/>
          <w:color w:val="auto"/>
          <w:sz w:val="24"/>
          <w:szCs w:val="24"/>
        </w:rPr>
        <w:tab/>
      </w:r>
      <w:r w:rsidRPr="007E6CA6">
        <w:rPr>
          <w:rFonts w:asciiTheme="minorHAnsi" w:hAnsiTheme="minorHAnsi" w:cs="Times New Roman"/>
          <w:color w:val="auto"/>
          <w:sz w:val="24"/>
          <w:szCs w:val="24"/>
        </w:rPr>
        <w:tab/>
      </w:r>
    </w:p>
    <w:p w14:paraId="5CB85B3E" w14:textId="77777777" w:rsidR="00FB46F6" w:rsidRDefault="00FB46F6" w:rsidP="00F510BB">
      <w:pPr>
        <w:spacing w:after="0" w:line="240" w:lineRule="auto"/>
        <w:ind w:left="4956" w:firstLine="431"/>
        <w:rPr>
          <w:rFonts w:eastAsia="Times New Roman" w:cs="Times New Roman"/>
          <w:b/>
          <w:color w:val="auto"/>
          <w:sz w:val="24"/>
          <w:szCs w:val="24"/>
        </w:rPr>
      </w:pPr>
    </w:p>
    <w:p w14:paraId="64B6BB90" w14:textId="77777777" w:rsidR="00FB46F6" w:rsidRDefault="00FB46F6" w:rsidP="00F510BB">
      <w:pPr>
        <w:spacing w:after="0" w:line="240" w:lineRule="auto"/>
        <w:ind w:left="4956" w:firstLine="431"/>
        <w:rPr>
          <w:rFonts w:eastAsia="Times New Roman" w:cs="Times New Roman"/>
          <w:b/>
          <w:color w:val="auto"/>
          <w:sz w:val="24"/>
          <w:szCs w:val="24"/>
        </w:rPr>
      </w:pPr>
    </w:p>
    <w:p w14:paraId="77D471F4" w14:textId="08A95F39" w:rsidR="00AB4149" w:rsidRPr="00780D6B" w:rsidRDefault="001B4D9A" w:rsidP="00F510BB">
      <w:pPr>
        <w:spacing w:after="0" w:line="240" w:lineRule="auto"/>
        <w:ind w:left="4956" w:firstLine="431"/>
        <w:rPr>
          <w:rFonts w:eastAsia="Times New Roman" w:cs="Times New Roman"/>
          <w:b/>
          <w:color w:val="auto"/>
          <w:sz w:val="24"/>
          <w:szCs w:val="24"/>
        </w:rPr>
      </w:pPr>
      <w:r w:rsidRPr="00780D6B">
        <w:rPr>
          <w:rFonts w:eastAsia="Times New Roman" w:cs="Times New Roman"/>
          <w:b/>
          <w:color w:val="auto"/>
          <w:sz w:val="24"/>
          <w:szCs w:val="24"/>
        </w:rPr>
        <w:t>Pan</w:t>
      </w:r>
      <w:r w:rsidR="00D03C87">
        <w:rPr>
          <w:rFonts w:eastAsia="Times New Roman" w:cs="Times New Roman"/>
          <w:b/>
          <w:color w:val="auto"/>
          <w:sz w:val="24"/>
          <w:szCs w:val="24"/>
        </w:rPr>
        <w:t xml:space="preserve"> Mariusz Kamiński</w:t>
      </w:r>
    </w:p>
    <w:p w14:paraId="6B87C1F8" w14:textId="570C941A" w:rsidR="00F25B1A" w:rsidRDefault="00D03C87" w:rsidP="00D03C87">
      <w:pPr>
        <w:spacing w:after="0" w:line="240" w:lineRule="auto"/>
        <w:ind w:left="4530" w:firstLine="857"/>
        <w:rPr>
          <w:rFonts w:eastAsia="Times New Roman" w:cs="Times New Roman"/>
          <w:b/>
          <w:color w:val="auto"/>
          <w:sz w:val="24"/>
          <w:szCs w:val="24"/>
        </w:rPr>
      </w:pPr>
      <w:r>
        <w:rPr>
          <w:rFonts w:eastAsia="Times New Roman" w:cs="Times New Roman"/>
          <w:b/>
          <w:color w:val="auto"/>
          <w:sz w:val="24"/>
          <w:szCs w:val="24"/>
        </w:rPr>
        <w:t xml:space="preserve">Minister Spraw Wewnętrznych </w:t>
      </w:r>
    </w:p>
    <w:p w14:paraId="189A9545" w14:textId="0751F58B" w:rsidR="00D03C87" w:rsidRDefault="00D03C87" w:rsidP="00D03C87">
      <w:pPr>
        <w:spacing w:after="0" w:line="240" w:lineRule="auto"/>
        <w:ind w:left="4530" w:firstLine="857"/>
        <w:rPr>
          <w:rFonts w:eastAsia="Times New Roman" w:cs="Times New Roman"/>
          <w:b/>
          <w:color w:val="auto"/>
          <w:sz w:val="24"/>
          <w:szCs w:val="24"/>
        </w:rPr>
      </w:pPr>
      <w:r>
        <w:rPr>
          <w:rFonts w:eastAsia="Times New Roman" w:cs="Times New Roman"/>
          <w:b/>
          <w:color w:val="auto"/>
          <w:sz w:val="24"/>
          <w:szCs w:val="24"/>
        </w:rPr>
        <w:t xml:space="preserve">i Administracji </w:t>
      </w:r>
    </w:p>
    <w:p w14:paraId="6E459A0E" w14:textId="77777777" w:rsidR="00B448BC" w:rsidRPr="00780D6B" w:rsidRDefault="00B448BC" w:rsidP="00D03C87">
      <w:pPr>
        <w:spacing w:after="0" w:line="240" w:lineRule="auto"/>
        <w:ind w:left="4530" w:firstLine="857"/>
        <w:rPr>
          <w:rFonts w:eastAsia="Times New Roman" w:cs="Times New Roman"/>
          <w:b/>
          <w:color w:val="auto"/>
          <w:sz w:val="24"/>
          <w:szCs w:val="24"/>
        </w:rPr>
      </w:pPr>
    </w:p>
    <w:p w14:paraId="3C2340B0" w14:textId="14FF4C4F" w:rsidR="00E23D0D" w:rsidRDefault="00E23D0D" w:rsidP="00E23D0D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eastAsia="Times New Roman" w:cs="Times New Roman"/>
          <w:b/>
          <w:sz w:val="24"/>
          <w:szCs w:val="24"/>
        </w:rPr>
      </w:pPr>
    </w:p>
    <w:p w14:paraId="211F40A0" w14:textId="77777777" w:rsidR="00FB46F6" w:rsidRDefault="00FB46F6" w:rsidP="00E23D0D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eastAsia="Times New Roman" w:cs="Times New Roman"/>
          <w:b/>
          <w:sz w:val="24"/>
          <w:szCs w:val="24"/>
        </w:rPr>
      </w:pPr>
    </w:p>
    <w:p w14:paraId="48381FB1" w14:textId="77777777" w:rsidR="00E23D0D" w:rsidRPr="00780D6B" w:rsidRDefault="00E23D0D" w:rsidP="00E23D0D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eastAsia="Times New Roman" w:cs="Times New Roman"/>
          <w:b/>
          <w:sz w:val="24"/>
          <w:szCs w:val="24"/>
        </w:rPr>
      </w:pPr>
      <w:r w:rsidRPr="00780D6B">
        <w:rPr>
          <w:rFonts w:eastAsia="Times New Roman" w:cs="Times New Roman"/>
          <w:b/>
          <w:sz w:val="24"/>
          <w:szCs w:val="24"/>
        </w:rPr>
        <w:t>Opinia</w:t>
      </w:r>
    </w:p>
    <w:p w14:paraId="4F657CA0" w14:textId="63C650F0" w:rsidR="003F6FA5" w:rsidRPr="003F6FA5" w:rsidRDefault="00E23D0D" w:rsidP="003F6FA5">
      <w:pPr>
        <w:autoSpaceDE w:val="0"/>
        <w:autoSpaceDN w:val="0"/>
        <w:adjustRightInd w:val="0"/>
        <w:spacing w:after="0" w:line="240" w:lineRule="auto"/>
        <w:ind w:left="-426" w:firstLine="284"/>
        <w:jc w:val="center"/>
        <w:rPr>
          <w:rFonts w:eastAsia="Times New Roman" w:cs="Times New Roman"/>
          <w:b/>
          <w:sz w:val="24"/>
          <w:szCs w:val="24"/>
        </w:rPr>
      </w:pPr>
      <w:r w:rsidRPr="00780D6B">
        <w:rPr>
          <w:rFonts w:eastAsia="Times New Roman" w:cs="Times New Roman"/>
          <w:b/>
          <w:sz w:val="24"/>
          <w:szCs w:val="24"/>
        </w:rPr>
        <w:t xml:space="preserve">o zgodności z prawem Unii Europejskiej </w:t>
      </w:r>
      <w:r w:rsidRPr="00780D6B">
        <w:rPr>
          <w:rFonts w:eastAsia="Times New Roman" w:cs="Times New Roman"/>
          <w:b/>
          <w:i/>
          <w:iCs/>
          <w:sz w:val="24"/>
          <w:szCs w:val="24"/>
        </w:rPr>
        <w:t>projekt</w:t>
      </w:r>
      <w:r w:rsidR="00804066" w:rsidRPr="00780D6B">
        <w:rPr>
          <w:rFonts w:eastAsia="Times New Roman" w:cs="Times New Roman"/>
          <w:b/>
          <w:i/>
          <w:iCs/>
          <w:sz w:val="24"/>
          <w:szCs w:val="24"/>
        </w:rPr>
        <w:t xml:space="preserve">u </w:t>
      </w:r>
      <w:r w:rsidR="003F6FA5" w:rsidRPr="003F6FA5">
        <w:rPr>
          <w:b/>
          <w:i/>
          <w:sz w:val="24"/>
          <w:szCs w:val="24"/>
        </w:rPr>
        <w:t xml:space="preserve">ustawy o zmianie ustawy o wjeździe </w:t>
      </w:r>
      <w:r w:rsidR="004E720A" w:rsidRPr="003F6FA5">
        <w:rPr>
          <w:b/>
          <w:i/>
          <w:sz w:val="24"/>
          <w:szCs w:val="24"/>
        </w:rPr>
        <w:t>na</w:t>
      </w:r>
      <w:r w:rsidR="004E720A">
        <w:rPr>
          <w:b/>
          <w:i/>
          <w:sz w:val="24"/>
          <w:szCs w:val="24"/>
        </w:rPr>
        <w:t> </w:t>
      </w:r>
      <w:r w:rsidR="003F6FA5" w:rsidRPr="003F6FA5">
        <w:rPr>
          <w:b/>
          <w:i/>
          <w:sz w:val="24"/>
          <w:szCs w:val="24"/>
        </w:rPr>
        <w:t>terytorium Rzeczypospolitej Polskiej, pobycie oraz wyjeździe z tego terytorium obywateli państw członkowskich Unii Europejskiej i członków ich rodzin oraz niektórych innych ustaw</w:t>
      </w:r>
      <w:r w:rsidR="003F6FA5" w:rsidRPr="003F6FA5">
        <w:rPr>
          <w:rFonts w:eastAsia="Times New Roman" w:cs="Times New Roman"/>
          <w:b/>
          <w:i/>
          <w:iCs/>
          <w:sz w:val="24"/>
          <w:szCs w:val="24"/>
        </w:rPr>
        <w:t xml:space="preserve">, </w:t>
      </w:r>
      <w:r w:rsidR="003F6FA5" w:rsidRPr="003F6FA5">
        <w:rPr>
          <w:rFonts w:eastAsia="Times New Roman" w:cs="Times New Roman"/>
          <w:b/>
          <w:sz w:val="24"/>
          <w:szCs w:val="24"/>
        </w:rPr>
        <w:t>wyrażona przez ministra właściwego do spraw członkostwa Rzeczypospolitej Polskiej w Unii Europejskiej</w:t>
      </w:r>
    </w:p>
    <w:p w14:paraId="036AF792" w14:textId="60AB1CE2" w:rsidR="003F6FA5" w:rsidRDefault="003F6FA5" w:rsidP="003F6FA5">
      <w:pPr>
        <w:spacing w:after="120" w:line="240" w:lineRule="auto"/>
        <w:ind w:left="-426"/>
        <w:rPr>
          <w:rFonts w:eastAsia="Times New Roman" w:cs="Times New Roman"/>
          <w:i/>
          <w:color w:val="auto"/>
          <w:sz w:val="24"/>
          <w:szCs w:val="24"/>
        </w:rPr>
      </w:pPr>
    </w:p>
    <w:p w14:paraId="1F7FE6A4" w14:textId="77777777" w:rsidR="00FB46F6" w:rsidRPr="00780D6B" w:rsidRDefault="00FB46F6" w:rsidP="003F6FA5">
      <w:pPr>
        <w:spacing w:after="120" w:line="240" w:lineRule="auto"/>
        <w:ind w:left="-426"/>
        <w:rPr>
          <w:rFonts w:eastAsia="Times New Roman" w:cs="Times New Roman"/>
          <w:i/>
          <w:color w:val="auto"/>
          <w:sz w:val="24"/>
          <w:szCs w:val="24"/>
        </w:rPr>
      </w:pPr>
    </w:p>
    <w:p w14:paraId="2A083F1A" w14:textId="2B3CC014" w:rsidR="003B2323" w:rsidRDefault="003B2323" w:rsidP="00705480">
      <w:pPr>
        <w:autoSpaceDE w:val="0"/>
        <w:autoSpaceDN w:val="0"/>
        <w:adjustRightInd w:val="0"/>
        <w:spacing w:after="0" w:line="240" w:lineRule="auto"/>
        <w:ind w:left="-426" w:firstLine="284"/>
        <w:jc w:val="center"/>
        <w:rPr>
          <w:rFonts w:eastAsia="Times New Roman" w:cs="Times New Roman"/>
          <w:i/>
          <w:color w:val="auto"/>
          <w:sz w:val="24"/>
          <w:szCs w:val="24"/>
        </w:rPr>
      </w:pPr>
    </w:p>
    <w:p w14:paraId="54A17EF5" w14:textId="77777777" w:rsidR="00FB46F6" w:rsidRPr="00780D6B" w:rsidRDefault="00FB46F6" w:rsidP="00705480">
      <w:pPr>
        <w:autoSpaceDE w:val="0"/>
        <w:autoSpaceDN w:val="0"/>
        <w:adjustRightInd w:val="0"/>
        <w:spacing w:after="0" w:line="240" w:lineRule="auto"/>
        <w:ind w:left="-426" w:firstLine="284"/>
        <w:jc w:val="center"/>
        <w:rPr>
          <w:rFonts w:eastAsia="Times New Roman" w:cs="Times New Roman"/>
          <w:i/>
          <w:color w:val="auto"/>
          <w:sz w:val="24"/>
          <w:szCs w:val="24"/>
        </w:rPr>
      </w:pPr>
    </w:p>
    <w:p w14:paraId="196994A6" w14:textId="0E6C146A" w:rsidR="00E23D0D" w:rsidRPr="00780D6B" w:rsidRDefault="00E23D0D" w:rsidP="009B1ED8">
      <w:pPr>
        <w:spacing w:after="120" w:line="240" w:lineRule="auto"/>
        <w:ind w:left="-426" w:firstLine="284"/>
        <w:rPr>
          <w:rFonts w:eastAsia="Times New Roman" w:cs="Times New Roman"/>
          <w:i/>
          <w:color w:val="auto"/>
          <w:sz w:val="24"/>
          <w:szCs w:val="24"/>
        </w:rPr>
      </w:pPr>
      <w:r w:rsidRPr="00780D6B">
        <w:rPr>
          <w:rFonts w:eastAsia="Times New Roman" w:cs="Times New Roman"/>
          <w:i/>
          <w:color w:val="auto"/>
          <w:sz w:val="24"/>
          <w:szCs w:val="24"/>
        </w:rPr>
        <w:t>Szanown</w:t>
      </w:r>
      <w:r w:rsidR="000312A8">
        <w:rPr>
          <w:rFonts w:eastAsia="Times New Roman" w:cs="Times New Roman"/>
          <w:i/>
          <w:color w:val="auto"/>
          <w:sz w:val="24"/>
          <w:szCs w:val="24"/>
        </w:rPr>
        <w:t>y</w:t>
      </w:r>
      <w:r w:rsidRPr="00780D6B">
        <w:rPr>
          <w:rFonts w:eastAsia="Times New Roman" w:cs="Times New Roman"/>
          <w:i/>
          <w:color w:val="auto"/>
          <w:sz w:val="24"/>
          <w:szCs w:val="24"/>
        </w:rPr>
        <w:t xml:space="preserve"> Pani</w:t>
      </w:r>
      <w:r w:rsidR="000312A8">
        <w:rPr>
          <w:rFonts w:eastAsia="Times New Roman" w:cs="Times New Roman"/>
          <w:i/>
          <w:color w:val="auto"/>
          <w:sz w:val="24"/>
          <w:szCs w:val="24"/>
        </w:rPr>
        <w:t>e</w:t>
      </w:r>
      <w:r w:rsidRPr="00780D6B">
        <w:rPr>
          <w:rFonts w:eastAsia="Times New Roman" w:cs="Times New Roman"/>
          <w:i/>
          <w:color w:val="auto"/>
          <w:sz w:val="24"/>
          <w:szCs w:val="24"/>
        </w:rPr>
        <w:t xml:space="preserve"> Minist</w:t>
      </w:r>
      <w:r w:rsidR="000312A8">
        <w:rPr>
          <w:rFonts w:eastAsia="Times New Roman" w:cs="Times New Roman"/>
          <w:i/>
          <w:color w:val="auto"/>
          <w:sz w:val="24"/>
          <w:szCs w:val="24"/>
        </w:rPr>
        <w:t>rze,</w:t>
      </w:r>
    </w:p>
    <w:p w14:paraId="027873BC" w14:textId="77777777" w:rsidR="00B9144F" w:rsidRPr="00780D6B" w:rsidRDefault="00B9144F" w:rsidP="00E23D0D">
      <w:pPr>
        <w:spacing w:after="0" w:line="240" w:lineRule="auto"/>
        <w:ind w:left="-426"/>
        <w:rPr>
          <w:rFonts w:eastAsia="Times New Roman" w:cs="Times New Roman"/>
          <w:i/>
          <w:color w:val="auto"/>
          <w:sz w:val="24"/>
          <w:szCs w:val="24"/>
        </w:rPr>
      </w:pPr>
    </w:p>
    <w:p w14:paraId="61FC9516" w14:textId="66E356EF" w:rsidR="00B9144F" w:rsidRDefault="00B9144F" w:rsidP="009B1ED8">
      <w:pPr>
        <w:spacing w:after="120" w:line="240" w:lineRule="auto"/>
        <w:ind w:left="-142"/>
        <w:jc w:val="both"/>
        <w:rPr>
          <w:rFonts w:eastAsia="Times New Roman" w:cs="Times New Roman"/>
          <w:color w:val="auto"/>
          <w:sz w:val="24"/>
          <w:szCs w:val="24"/>
        </w:rPr>
      </w:pPr>
      <w:r w:rsidRPr="00780D6B">
        <w:rPr>
          <w:rFonts w:eastAsia="Times New Roman" w:cs="Times New Roman"/>
          <w:color w:val="auto"/>
          <w:sz w:val="24"/>
          <w:szCs w:val="24"/>
        </w:rPr>
        <w:t>w związku z przedłożonym projekt</w:t>
      </w:r>
      <w:r w:rsidR="00825CA7" w:rsidRPr="00780D6B">
        <w:rPr>
          <w:rFonts w:eastAsia="Times New Roman" w:cs="Times New Roman"/>
          <w:color w:val="auto"/>
          <w:sz w:val="24"/>
          <w:szCs w:val="24"/>
        </w:rPr>
        <w:t>em</w:t>
      </w:r>
      <w:r w:rsidRPr="00780D6B">
        <w:rPr>
          <w:rFonts w:eastAsia="Times New Roman" w:cs="Times New Roman"/>
          <w:i/>
          <w:color w:val="auto"/>
          <w:sz w:val="24"/>
          <w:szCs w:val="24"/>
        </w:rPr>
        <w:t xml:space="preserve"> </w:t>
      </w:r>
      <w:r w:rsidR="000312A8">
        <w:rPr>
          <w:rFonts w:eastAsia="Times New Roman" w:cs="Times New Roman"/>
          <w:color w:val="auto"/>
          <w:sz w:val="24"/>
          <w:szCs w:val="24"/>
        </w:rPr>
        <w:t>ustawy</w:t>
      </w:r>
      <w:r w:rsidRPr="00780D6B">
        <w:rPr>
          <w:rFonts w:eastAsia="Times New Roman" w:cs="Times New Roman"/>
          <w:b/>
          <w:i/>
          <w:color w:val="auto"/>
          <w:sz w:val="24"/>
          <w:szCs w:val="24"/>
        </w:rPr>
        <w:t xml:space="preserve"> </w:t>
      </w:r>
      <w:r w:rsidRPr="00780D6B">
        <w:rPr>
          <w:rFonts w:eastAsia="Times New Roman" w:cs="Times New Roman"/>
          <w:color w:val="auto"/>
          <w:sz w:val="24"/>
          <w:szCs w:val="24"/>
        </w:rPr>
        <w:t>pozwalam sobie wyrazić poniższą opinię.</w:t>
      </w:r>
    </w:p>
    <w:p w14:paraId="77DAE02D" w14:textId="44F920A5" w:rsidR="009D5D3E" w:rsidRDefault="009D5D3E" w:rsidP="009D5D3E">
      <w:pPr>
        <w:pStyle w:val="Akapitzlist"/>
        <w:numPr>
          <w:ilvl w:val="0"/>
          <w:numId w:val="3"/>
        </w:numPr>
        <w:spacing w:after="120" w:line="276" w:lineRule="auto"/>
        <w:ind w:left="215" w:hanging="357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Projekt ustawy zawiera przepisy, zgodnie z którymi</w:t>
      </w:r>
      <w:r w:rsidR="003A3666" w:rsidRPr="008562D5">
        <w:rPr>
          <w:rFonts w:asciiTheme="minorHAnsi" w:hAnsiTheme="minorHAnsi" w:cstheme="minorHAnsi"/>
          <w:sz w:val="24"/>
          <w:szCs w:val="24"/>
        </w:rPr>
        <w:t xml:space="preserve"> stwierdzenie, </w:t>
      </w:r>
      <w:r>
        <w:rPr>
          <w:rFonts w:asciiTheme="minorHAnsi" w:hAnsiTheme="minorHAnsi" w:cstheme="minorHAnsi"/>
          <w:sz w:val="24"/>
          <w:szCs w:val="24"/>
        </w:rPr>
        <w:t>że</w:t>
      </w:r>
      <w:r w:rsidRPr="008562D5">
        <w:rPr>
          <w:rFonts w:asciiTheme="minorHAnsi" w:hAnsiTheme="minorHAnsi" w:cstheme="minorHAnsi"/>
          <w:sz w:val="24"/>
          <w:szCs w:val="24"/>
        </w:rPr>
        <w:t xml:space="preserve"> </w:t>
      </w:r>
      <w:r w:rsidR="00705480">
        <w:rPr>
          <w:rFonts w:asciiTheme="minorHAnsi" w:hAnsiTheme="minorHAnsi" w:cstheme="minorHAnsi"/>
          <w:sz w:val="24"/>
          <w:szCs w:val="24"/>
        </w:rPr>
        <w:t>obywatel UE lub</w:t>
      </w:r>
      <w:r w:rsidR="004D5D3A">
        <w:rPr>
          <w:rFonts w:asciiTheme="minorHAnsi" w:hAnsiTheme="minorHAnsi" w:cstheme="minorHAnsi"/>
          <w:sz w:val="24"/>
          <w:szCs w:val="24"/>
        </w:rPr>
        <w:t> </w:t>
      </w:r>
      <w:r w:rsidR="00705480">
        <w:rPr>
          <w:rFonts w:asciiTheme="minorHAnsi" w:hAnsiTheme="minorHAnsi" w:cstheme="minorHAnsi"/>
          <w:sz w:val="24"/>
          <w:szCs w:val="24"/>
        </w:rPr>
        <w:t>członek jego rodziny niebędący obywatelem UE</w:t>
      </w:r>
      <w:r w:rsidR="003A3666" w:rsidRPr="008562D5">
        <w:rPr>
          <w:rFonts w:asciiTheme="minorHAnsi" w:hAnsiTheme="minorHAnsi" w:cstheme="minorHAnsi"/>
          <w:sz w:val="24"/>
          <w:szCs w:val="24"/>
        </w:rPr>
        <w:t xml:space="preserve"> działa z zamiarem obejścia przepisów prawa</w:t>
      </w:r>
      <w:r w:rsidR="007522A4">
        <w:rPr>
          <w:rFonts w:asciiTheme="minorHAnsi" w:hAnsiTheme="minorHAnsi" w:cstheme="minorHAnsi"/>
          <w:sz w:val="24"/>
          <w:szCs w:val="24"/>
        </w:rPr>
        <w:t>,</w:t>
      </w:r>
      <w:r w:rsidR="003A3666" w:rsidRPr="008562D5">
        <w:rPr>
          <w:rFonts w:asciiTheme="minorHAnsi" w:hAnsiTheme="minorHAnsi" w:cstheme="minorHAnsi"/>
          <w:sz w:val="24"/>
          <w:szCs w:val="24"/>
        </w:rPr>
        <w:t xml:space="preserve"> obowiązujących w innym państwie członkowskim Unii Europejskiej, państwie członkowskim Europejskiego Porozumienia o Wolnym Handlu (EFTA) – strony umowy o</w:t>
      </w:r>
      <w:r w:rsidR="004D5D3A">
        <w:rPr>
          <w:rFonts w:asciiTheme="minorHAnsi" w:hAnsiTheme="minorHAnsi" w:cstheme="minorHAnsi"/>
          <w:sz w:val="24"/>
          <w:szCs w:val="24"/>
        </w:rPr>
        <w:t> </w:t>
      </w:r>
      <w:r w:rsidR="003A3666" w:rsidRPr="008562D5">
        <w:rPr>
          <w:rFonts w:asciiTheme="minorHAnsi" w:hAnsiTheme="minorHAnsi" w:cstheme="minorHAnsi"/>
          <w:sz w:val="24"/>
          <w:szCs w:val="24"/>
        </w:rPr>
        <w:t>Europejskim Obszarze Gospodarczym lub Konfederacji Szwajcarskiej</w:t>
      </w:r>
      <w:r w:rsidR="007522A4">
        <w:rPr>
          <w:rFonts w:asciiTheme="minorHAnsi" w:hAnsiTheme="minorHAnsi" w:cstheme="minorHAnsi"/>
          <w:sz w:val="24"/>
          <w:szCs w:val="24"/>
        </w:rPr>
        <w:t>,</w:t>
      </w:r>
      <w:r w:rsidR="003A3666" w:rsidRPr="008562D5">
        <w:rPr>
          <w:rFonts w:asciiTheme="minorHAnsi" w:hAnsiTheme="minorHAnsi" w:cstheme="minorHAnsi"/>
          <w:sz w:val="24"/>
          <w:szCs w:val="24"/>
        </w:rPr>
        <w:t xml:space="preserve"> regulujących zasady wjazdu na terytorium Unii Europejskiej, pobytu na tym terytorium oraz wyjazdu z niego stanowić będzie nową przesłankę</w:t>
      </w:r>
      <w:r w:rsidR="00705480">
        <w:rPr>
          <w:rFonts w:asciiTheme="minorHAnsi" w:hAnsiTheme="minorHAnsi" w:cstheme="minorHAnsi"/>
          <w:sz w:val="24"/>
          <w:szCs w:val="24"/>
        </w:rPr>
        <w:t xml:space="preserve">, odpowiednio: </w:t>
      </w:r>
      <w:r w:rsidR="003A3666" w:rsidRPr="008562D5">
        <w:rPr>
          <w:rFonts w:asciiTheme="minorHAnsi" w:hAnsiTheme="minorHAnsi" w:cstheme="minorHAnsi"/>
          <w:sz w:val="24"/>
          <w:szCs w:val="24"/>
        </w:rPr>
        <w:t xml:space="preserve">odmowy wydania wizy, unieważnienia wizy, odmowy zarejestrowanie pobytu lub wydania karty pobytowej, </w:t>
      </w:r>
      <w:r w:rsidR="00843C01" w:rsidRPr="008562D5">
        <w:rPr>
          <w:rFonts w:asciiTheme="minorHAnsi" w:hAnsiTheme="minorHAnsi" w:cstheme="minorHAnsi"/>
          <w:sz w:val="24"/>
          <w:szCs w:val="24"/>
        </w:rPr>
        <w:t xml:space="preserve">unieważnienia zarejestrowania pobytu, unieważnienia karty pobytowej, odmowy wydania dokumentu potwierdzającego prawo stałego pobytu lub karty stałego pobytu, unieważnienia dokumentu potwierdzającego prawo stałego pobytu i unieważnienia karty stałego pobytu (art. 1 pkt 10, 11, 28, 33, 34, 49 i 54 projektu). </w:t>
      </w:r>
    </w:p>
    <w:p w14:paraId="20FABD99" w14:textId="32D818D2" w:rsidR="009D5D3E" w:rsidRDefault="00843C01" w:rsidP="009D5D3E">
      <w:pPr>
        <w:pStyle w:val="Akapitzlist"/>
        <w:spacing w:after="120" w:line="276" w:lineRule="auto"/>
        <w:ind w:left="215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8562D5">
        <w:rPr>
          <w:rFonts w:asciiTheme="minorHAnsi" w:hAnsiTheme="minorHAnsi" w:cstheme="minorHAnsi"/>
          <w:sz w:val="24"/>
          <w:szCs w:val="24"/>
        </w:rPr>
        <w:lastRenderedPageBreak/>
        <w:t xml:space="preserve">Jako podstawę wprowadzenia projektowanej zmiany </w:t>
      </w:r>
      <w:r w:rsidR="00081E5F">
        <w:rPr>
          <w:rFonts w:asciiTheme="minorHAnsi" w:hAnsiTheme="minorHAnsi" w:cstheme="minorHAnsi"/>
          <w:sz w:val="24"/>
          <w:szCs w:val="24"/>
        </w:rPr>
        <w:t xml:space="preserve">do przepisów </w:t>
      </w:r>
      <w:r w:rsidR="00081E5F" w:rsidRPr="008562D5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ustawy z dnia 14 lipca 2006 r. o wjeździe, pobycie </w:t>
      </w:r>
      <w:r w:rsidR="00081E5F" w:rsidRPr="008562D5">
        <w:rPr>
          <w:rFonts w:asciiTheme="minorHAnsi" w:hAnsiTheme="minorHAnsi" w:cstheme="minorHAnsi"/>
          <w:sz w:val="24"/>
          <w:szCs w:val="24"/>
        </w:rPr>
        <w:t>oraz wyjeździe z tego terytorium obywateli państw członkowskich Unii Europejskiej i członków ich rodzin</w:t>
      </w:r>
      <w:r w:rsidR="00081E5F">
        <w:rPr>
          <w:rFonts w:asciiTheme="minorHAnsi" w:hAnsiTheme="minorHAnsi" w:cstheme="minorHAnsi"/>
          <w:sz w:val="24"/>
          <w:szCs w:val="24"/>
        </w:rPr>
        <w:t xml:space="preserve"> </w:t>
      </w:r>
      <w:r w:rsidR="00081E5F" w:rsidRPr="0084673A">
        <w:rPr>
          <w:rFonts w:asciiTheme="minorHAnsi" w:hAnsiTheme="minorHAnsi" w:cstheme="minorHAnsi"/>
          <w:sz w:val="24"/>
          <w:szCs w:val="24"/>
        </w:rPr>
        <w:t>(dalej</w:t>
      </w:r>
      <w:r w:rsidR="00E85689">
        <w:rPr>
          <w:rFonts w:asciiTheme="minorHAnsi" w:hAnsiTheme="minorHAnsi" w:cstheme="minorHAnsi"/>
          <w:sz w:val="24"/>
          <w:szCs w:val="24"/>
        </w:rPr>
        <w:t xml:space="preserve"> powoływanej jako</w:t>
      </w:r>
      <w:r w:rsidR="00081E5F" w:rsidRPr="0084673A">
        <w:rPr>
          <w:rFonts w:asciiTheme="minorHAnsi" w:hAnsiTheme="minorHAnsi" w:cstheme="minorHAnsi"/>
          <w:sz w:val="24"/>
          <w:szCs w:val="24"/>
        </w:rPr>
        <w:t xml:space="preserve"> </w:t>
      </w:r>
      <w:r w:rsidR="007522A4">
        <w:rPr>
          <w:rFonts w:asciiTheme="minorHAnsi" w:hAnsiTheme="minorHAnsi" w:cstheme="minorHAnsi"/>
          <w:sz w:val="24"/>
          <w:szCs w:val="24"/>
        </w:rPr>
        <w:t>„</w:t>
      </w:r>
      <w:r w:rsidR="00081E5F" w:rsidRPr="0084673A">
        <w:rPr>
          <w:rFonts w:asciiTheme="minorHAnsi" w:hAnsiTheme="minorHAnsi" w:cstheme="minorHAnsi"/>
          <w:sz w:val="24"/>
          <w:szCs w:val="24"/>
        </w:rPr>
        <w:t>ustawa o</w:t>
      </w:r>
      <w:r w:rsidR="00E85689">
        <w:rPr>
          <w:rFonts w:asciiTheme="minorHAnsi" w:hAnsiTheme="minorHAnsi" w:cstheme="minorHAnsi"/>
          <w:sz w:val="24"/>
          <w:szCs w:val="24"/>
        </w:rPr>
        <w:t> </w:t>
      </w:r>
      <w:r w:rsidR="00081E5F" w:rsidRPr="0084673A">
        <w:rPr>
          <w:rFonts w:asciiTheme="minorHAnsi" w:hAnsiTheme="minorHAnsi" w:cstheme="minorHAnsi"/>
          <w:sz w:val="24"/>
          <w:szCs w:val="24"/>
        </w:rPr>
        <w:t>wjeździe</w:t>
      </w:r>
      <w:r w:rsidR="007522A4">
        <w:rPr>
          <w:rFonts w:asciiTheme="minorHAnsi" w:hAnsiTheme="minorHAnsi" w:cstheme="minorHAnsi"/>
          <w:sz w:val="24"/>
          <w:szCs w:val="24"/>
        </w:rPr>
        <w:t>”</w:t>
      </w:r>
      <w:r w:rsidR="00081E5F" w:rsidRPr="0084673A">
        <w:rPr>
          <w:rFonts w:asciiTheme="minorHAnsi" w:hAnsiTheme="minorHAnsi" w:cstheme="minorHAnsi"/>
          <w:sz w:val="24"/>
          <w:szCs w:val="24"/>
        </w:rPr>
        <w:t>)</w:t>
      </w:r>
      <w:r w:rsidR="00081E5F" w:rsidRPr="008562D5">
        <w:rPr>
          <w:rFonts w:asciiTheme="minorHAnsi" w:hAnsiTheme="minorHAnsi" w:cstheme="minorHAnsi"/>
          <w:sz w:val="24"/>
          <w:szCs w:val="24"/>
        </w:rPr>
        <w:t xml:space="preserve"> </w:t>
      </w:r>
      <w:r w:rsidRPr="008562D5">
        <w:rPr>
          <w:rFonts w:asciiTheme="minorHAnsi" w:hAnsiTheme="minorHAnsi" w:cstheme="minorHAnsi"/>
          <w:sz w:val="24"/>
          <w:szCs w:val="24"/>
        </w:rPr>
        <w:t xml:space="preserve">w uzasadnieniu </w:t>
      </w:r>
      <w:r w:rsidR="004E720A">
        <w:rPr>
          <w:rFonts w:asciiTheme="minorHAnsi" w:hAnsiTheme="minorHAnsi" w:cstheme="minorHAnsi"/>
          <w:sz w:val="24"/>
          <w:szCs w:val="24"/>
        </w:rPr>
        <w:t xml:space="preserve">projektu </w:t>
      </w:r>
      <w:r w:rsidRPr="008562D5">
        <w:rPr>
          <w:rFonts w:asciiTheme="minorHAnsi" w:hAnsiTheme="minorHAnsi" w:cstheme="minorHAnsi"/>
          <w:sz w:val="24"/>
          <w:szCs w:val="24"/>
        </w:rPr>
        <w:t>wskazano art. 35 dyrektywy 2004/38/WE</w:t>
      </w:r>
      <w:r w:rsidR="00484C57" w:rsidRPr="008562D5">
        <w:rPr>
          <w:rFonts w:asciiTheme="minorHAnsi" w:hAnsiTheme="minorHAnsi" w:cstheme="minorHAnsi"/>
          <w:sz w:val="24"/>
          <w:szCs w:val="24"/>
        </w:rPr>
        <w:t xml:space="preserve"> Parlamentu Europejskiego i Rady z dnia 29 kwietnia 2004 r. w sprawie prawa obywateli Unii i członków ich rodzin do swobodnego przemieszczania się i pobytu na terytorium </w:t>
      </w:r>
      <w:r w:rsidR="008F06C7">
        <w:rPr>
          <w:rFonts w:asciiTheme="minorHAnsi" w:hAnsiTheme="minorHAnsi" w:cstheme="minorHAnsi"/>
          <w:sz w:val="24"/>
          <w:szCs w:val="24"/>
        </w:rPr>
        <w:t>p</w:t>
      </w:r>
      <w:r w:rsidR="00484C57" w:rsidRPr="008562D5">
        <w:rPr>
          <w:rFonts w:asciiTheme="minorHAnsi" w:hAnsiTheme="minorHAnsi" w:cstheme="minorHAnsi"/>
          <w:sz w:val="24"/>
          <w:szCs w:val="24"/>
        </w:rPr>
        <w:t xml:space="preserve">aństw </w:t>
      </w:r>
      <w:r w:rsidR="008F06C7">
        <w:rPr>
          <w:rFonts w:asciiTheme="minorHAnsi" w:hAnsiTheme="minorHAnsi" w:cstheme="minorHAnsi"/>
          <w:sz w:val="24"/>
          <w:szCs w:val="24"/>
        </w:rPr>
        <w:t>c</w:t>
      </w:r>
      <w:r w:rsidR="00484C57" w:rsidRPr="008562D5">
        <w:rPr>
          <w:rFonts w:asciiTheme="minorHAnsi" w:hAnsiTheme="minorHAnsi" w:cstheme="minorHAnsi"/>
          <w:sz w:val="24"/>
          <w:szCs w:val="24"/>
        </w:rPr>
        <w:t>złonkowskich,</w:t>
      </w:r>
      <w:r w:rsidR="00CD4ECB">
        <w:rPr>
          <w:rFonts w:asciiTheme="minorHAnsi" w:hAnsiTheme="minorHAnsi" w:cstheme="minorHAnsi"/>
          <w:sz w:val="24"/>
          <w:szCs w:val="24"/>
        </w:rPr>
        <w:t xml:space="preserve"> zgodn</w:t>
      </w:r>
      <w:r w:rsidRPr="008562D5">
        <w:rPr>
          <w:rFonts w:asciiTheme="minorHAnsi" w:hAnsiTheme="minorHAnsi" w:cstheme="minorHAnsi"/>
          <w:sz w:val="24"/>
          <w:szCs w:val="24"/>
        </w:rPr>
        <w:t xml:space="preserve">ie </w:t>
      </w:r>
      <w:r w:rsidR="00484C57" w:rsidRPr="008562D5">
        <w:rPr>
          <w:rFonts w:asciiTheme="minorHAnsi" w:hAnsiTheme="minorHAnsi" w:cstheme="minorHAnsi"/>
          <w:sz w:val="24"/>
          <w:szCs w:val="24"/>
        </w:rPr>
        <w:t xml:space="preserve">z którym </w:t>
      </w:r>
      <w:r w:rsidRPr="008562D5">
        <w:rPr>
          <w:rFonts w:asciiTheme="minorHAnsi" w:hAnsiTheme="minorHAnsi" w:cstheme="minorHAnsi"/>
          <w:sz w:val="24"/>
          <w:szCs w:val="24"/>
        </w:rPr>
        <w:t>państwa członkowskie mogą przyjąć niezbędne środki w</w:t>
      </w:r>
      <w:r w:rsidR="00E85689">
        <w:rPr>
          <w:rFonts w:asciiTheme="minorHAnsi" w:hAnsiTheme="minorHAnsi" w:cstheme="minorHAnsi"/>
          <w:sz w:val="24"/>
          <w:szCs w:val="24"/>
        </w:rPr>
        <w:t> </w:t>
      </w:r>
      <w:r w:rsidRPr="008562D5">
        <w:rPr>
          <w:rFonts w:asciiTheme="minorHAnsi" w:hAnsiTheme="minorHAnsi" w:cstheme="minorHAnsi"/>
          <w:sz w:val="24"/>
          <w:szCs w:val="24"/>
        </w:rPr>
        <w:t xml:space="preserve">celu odmowy, zniesienia </w:t>
      </w:r>
      <w:r w:rsidR="00484C57" w:rsidRPr="008562D5">
        <w:rPr>
          <w:rFonts w:asciiTheme="minorHAnsi" w:hAnsiTheme="minorHAnsi" w:cstheme="minorHAnsi"/>
          <w:sz w:val="24"/>
          <w:szCs w:val="24"/>
        </w:rPr>
        <w:t xml:space="preserve">lub wycofania jakiegokolwiek prawa przyznanego </w:t>
      </w:r>
      <w:r w:rsidR="009D5D3E">
        <w:rPr>
          <w:rFonts w:asciiTheme="minorHAnsi" w:hAnsiTheme="minorHAnsi" w:cstheme="minorHAnsi"/>
          <w:sz w:val="24"/>
          <w:szCs w:val="24"/>
        </w:rPr>
        <w:t>tą</w:t>
      </w:r>
      <w:r w:rsidR="009D5D3E" w:rsidRPr="008562D5">
        <w:rPr>
          <w:rFonts w:asciiTheme="minorHAnsi" w:hAnsiTheme="minorHAnsi" w:cstheme="minorHAnsi"/>
          <w:sz w:val="24"/>
          <w:szCs w:val="24"/>
        </w:rPr>
        <w:t xml:space="preserve"> </w:t>
      </w:r>
      <w:r w:rsidR="00484C57" w:rsidRPr="008562D5">
        <w:rPr>
          <w:rFonts w:asciiTheme="minorHAnsi" w:hAnsiTheme="minorHAnsi" w:cstheme="minorHAnsi"/>
          <w:sz w:val="24"/>
          <w:szCs w:val="24"/>
        </w:rPr>
        <w:t xml:space="preserve">dyrektywą w przypadku nadużycia praw lub oszustw. </w:t>
      </w:r>
    </w:p>
    <w:p w14:paraId="015D3283" w14:textId="7089A848" w:rsidR="00843C01" w:rsidRDefault="00484C57" w:rsidP="009D5D3E">
      <w:pPr>
        <w:pStyle w:val="Akapitzlist"/>
        <w:spacing w:after="120" w:line="276" w:lineRule="auto"/>
        <w:ind w:left="215"/>
        <w:contextualSpacing w:val="0"/>
        <w:jc w:val="both"/>
        <w:rPr>
          <w:rFonts w:asciiTheme="minorHAnsi" w:hAnsiTheme="minorHAnsi" w:cstheme="minorHAnsi"/>
          <w:color w:val="auto"/>
          <w:sz w:val="24"/>
          <w:szCs w:val="24"/>
          <w:lang w:eastAsia="en-US"/>
        </w:rPr>
      </w:pPr>
      <w:r w:rsidRPr="008562D5">
        <w:rPr>
          <w:rFonts w:asciiTheme="minorHAnsi" w:hAnsiTheme="minorHAnsi" w:cstheme="minorHAnsi"/>
          <w:sz w:val="24"/>
          <w:szCs w:val="24"/>
        </w:rPr>
        <w:t xml:space="preserve">W tym kontekście należy zauważyć, że Komisja Europejska w </w:t>
      </w:r>
      <w:r w:rsidR="009D5D3E" w:rsidRPr="00484C57">
        <w:rPr>
          <w:rFonts w:asciiTheme="minorHAnsi" w:hAnsiTheme="minorHAnsi" w:cstheme="minorHAnsi"/>
          <w:color w:val="auto"/>
          <w:sz w:val="24"/>
          <w:szCs w:val="24"/>
          <w:lang w:eastAsia="en-US"/>
        </w:rPr>
        <w:t>wytyczn</w:t>
      </w:r>
      <w:r w:rsidR="009D5D3E">
        <w:rPr>
          <w:rFonts w:asciiTheme="minorHAnsi" w:hAnsiTheme="minorHAnsi" w:cstheme="minorHAnsi"/>
          <w:color w:val="auto"/>
          <w:sz w:val="24"/>
          <w:szCs w:val="24"/>
          <w:lang w:eastAsia="en-US"/>
        </w:rPr>
        <w:t>ych</w:t>
      </w:r>
      <w:r w:rsidR="009D5D3E" w:rsidRPr="00484C57">
        <w:rPr>
          <w:rFonts w:asciiTheme="minorHAnsi" w:hAnsiTheme="minorHAnsi" w:cstheme="minorHAnsi"/>
          <w:color w:val="auto"/>
          <w:sz w:val="24"/>
          <w:szCs w:val="24"/>
          <w:lang w:eastAsia="en-US"/>
        </w:rPr>
        <w:t xml:space="preserve"> </w:t>
      </w:r>
      <w:r w:rsidRPr="00484C57">
        <w:rPr>
          <w:rFonts w:asciiTheme="minorHAnsi" w:hAnsiTheme="minorHAnsi" w:cstheme="minorHAnsi"/>
          <w:color w:val="auto"/>
          <w:sz w:val="24"/>
          <w:szCs w:val="24"/>
          <w:lang w:eastAsia="en-US"/>
        </w:rPr>
        <w:t>w celu skuteczniejszej transpozycji i stosowania dyrektywy 2004/38/WE w sprawie prawa obywateli Unii i członków ich rodzin do swobodnego przemieszczania się i pobytu na</w:t>
      </w:r>
      <w:r w:rsidR="00E85689">
        <w:rPr>
          <w:rFonts w:asciiTheme="minorHAnsi" w:hAnsiTheme="minorHAnsi" w:cstheme="minorHAnsi"/>
          <w:color w:val="auto"/>
          <w:sz w:val="24"/>
          <w:szCs w:val="24"/>
          <w:lang w:eastAsia="en-US"/>
        </w:rPr>
        <w:t> </w:t>
      </w:r>
      <w:r w:rsidRPr="00484C57">
        <w:rPr>
          <w:rFonts w:asciiTheme="minorHAnsi" w:hAnsiTheme="minorHAnsi" w:cstheme="minorHAnsi"/>
          <w:color w:val="auto"/>
          <w:sz w:val="24"/>
          <w:szCs w:val="24"/>
          <w:lang w:eastAsia="en-US"/>
        </w:rPr>
        <w:t>terytorium państw członkowskich z dnia 2 lipca 2009 r</w:t>
      </w:r>
      <w:r w:rsidR="009D5D3E">
        <w:rPr>
          <w:rStyle w:val="Odwoanieprzypisudolnego"/>
          <w:rFonts w:asciiTheme="minorHAnsi" w:hAnsiTheme="minorHAnsi" w:cstheme="minorHAnsi"/>
          <w:color w:val="auto"/>
          <w:sz w:val="24"/>
          <w:szCs w:val="24"/>
          <w:lang w:eastAsia="en-US"/>
        </w:rPr>
        <w:footnoteReference w:id="1"/>
      </w:r>
      <w:r w:rsidRPr="00484C57">
        <w:rPr>
          <w:rFonts w:asciiTheme="minorHAnsi" w:hAnsiTheme="minorHAnsi" w:cstheme="minorHAnsi"/>
          <w:color w:val="auto"/>
          <w:sz w:val="24"/>
          <w:szCs w:val="24"/>
          <w:lang w:eastAsia="en-US"/>
        </w:rPr>
        <w:t>.</w:t>
      </w:r>
      <w:r w:rsidRPr="008562D5">
        <w:rPr>
          <w:rFonts w:asciiTheme="minorHAnsi" w:hAnsiTheme="minorHAnsi" w:cstheme="minorHAnsi"/>
          <w:color w:val="auto"/>
          <w:sz w:val="24"/>
          <w:szCs w:val="24"/>
          <w:lang w:eastAsia="en-US"/>
        </w:rPr>
        <w:t xml:space="preserve"> wskazała, </w:t>
      </w:r>
      <w:r w:rsidR="004E720A">
        <w:rPr>
          <w:rFonts w:asciiTheme="minorHAnsi" w:hAnsiTheme="minorHAnsi" w:cstheme="minorHAnsi"/>
          <w:color w:val="auto"/>
          <w:sz w:val="24"/>
          <w:szCs w:val="24"/>
          <w:lang w:eastAsia="en-US"/>
        </w:rPr>
        <w:t>że</w:t>
      </w:r>
      <w:r w:rsidR="004E720A" w:rsidRPr="008562D5">
        <w:rPr>
          <w:rFonts w:asciiTheme="minorHAnsi" w:hAnsiTheme="minorHAnsi" w:cstheme="minorHAnsi"/>
          <w:color w:val="auto"/>
          <w:sz w:val="24"/>
          <w:szCs w:val="24"/>
          <w:lang w:eastAsia="en-US"/>
        </w:rPr>
        <w:t xml:space="preserve"> </w:t>
      </w:r>
      <w:r w:rsidRPr="008562D5">
        <w:rPr>
          <w:rFonts w:asciiTheme="minorHAnsi" w:hAnsiTheme="minorHAnsi" w:cstheme="minorHAnsi"/>
          <w:color w:val="auto"/>
          <w:sz w:val="24"/>
          <w:szCs w:val="24"/>
          <w:lang w:eastAsia="en-US"/>
        </w:rPr>
        <w:t>zgodnie z</w:t>
      </w:r>
      <w:r w:rsidR="00E85689">
        <w:rPr>
          <w:rFonts w:asciiTheme="minorHAnsi" w:hAnsiTheme="minorHAnsi" w:cstheme="minorHAnsi"/>
          <w:color w:val="auto"/>
          <w:sz w:val="24"/>
          <w:szCs w:val="24"/>
          <w:lang w:eastAsia="en-US"/>
        </w:rPr>
        <w:t> </w:t>
      </w:r>
      <w:r w:rsidRPr="008562D5">
        <w:rPr>
          <w:rFonts w:asciiTheme="minorHAnsi" w:hAnsiTheme="minorHAnsi" w:cstheme="minorHAnsi"/>
          <w:color w:val="auto"/>
          <w:sz w:val="24"/>
          <w:szCs w:val="24"/>
          <w:lang w:eastAsia="en-US"/>
        </w:rPr>
        <w:t xml:space="preserve">orzecznictwem Trybunału </w:t>
      </w:r>
      <w:r w:rsidR="009D5D3E">
        <w:rPr>
          <w:rFonts w:asciiTheme="minorHAnsi" w:hAnsiTheme="minorHAnsi" w:cstheme="minorHAnsi"/>
          <w:color w:val="auto"/>
          <w:sz w:val="24"/>
          <w:szCs w:val="24"/>
          <w:lang w:eastAsia="en-US"/>
        </w:rPr>
        <w:t xml:space="preserve">Sprawiedliwości Unii Europejskiej </w:t>
      </w:r>
      <w:r w:rsidRPr="008562D5">
        <w:rPr>
          <w:rFonts w:asciiTheme="minorHAnsi" w:hAnsiTheme="minorHAnsi" w:cstheme="minorHAnsi"/>
          <w:color w:val="auto"/>
          <w:sz w:val="24"/>
          <w:szCs w:val="24"/>
          <w:lang w:eastAsia="en-US"/>
        </w:rPr>
        <w:t xml:space="preserve">jako oszustwa </w:t>
      </w:r>
      <w:r w:rsidRPr="00484C57">
        <w:rPr>
          <w:rFonts w:asciiTheme="minorHAnsi" w:hAnsiTheme="minorHAnsi" w:cstheme="minorHAnsi"/>
          <w:color w:val="auto"/>
          <w:sz w:val="24"/>
          <w:szCs w:val="24"/>
          <w:lang w:eastAsia="en-US"/>
        </w:rPr>
        <w:t>należy rozumieć wszelkie manipulacje, wprowadzenie w błąd oraz fałszowanie dokumentów</w:t>
      </w:r>
      <w:r w:rsidRPr="008562D5">
        <w:rPr>
          <w:rFonts w:asciiTheme="minorHAnsi" w:hAnsiTheme="minorHAnsi" w:cstheme="minorHAnsi"/>
          <w:color w:val="auto"/>
          <w:sz w:val="24"/>
          <w:szCs w:val="24"/>
          <w:lang w:eastAsia="en-US"/>
        </w:rPr>
        <w:t>, zaś</w:t>
      </w:r>
      <w:r w:rsidR="007522A4">
        <w:rPr>
          <w:rFonts w:asciiTheme="minorHAnsi" w:hAnsiTheme="minorHAnsi" w:cstheme="minorHAnsi"/>
          <w:color w:val="auto"/>
          <w:sz w:val="24"/>
          <w:szCs w:val="24"/>
          <w:lang w:eastAsia="en-US"/>
        </w:rPr>
        <w:t> </w:t>
      </w:r>
      <w:r w:rsidRPr="008562D5">
        <w:rPr>
          <w:rFonts w:asciiTheme="minorHAnsi" w:hAnsiTheme="minorHAnsi" w:cstheme="minorHAnsi"/>
          <w:color w:val="auto"/>
          <w:sz w:val="24"/>
          <w:szCs w:val="24"/>
          <w:lang w:eastAsia="en-US"/>
        </w:rPr>
        <w:t xml:space="preserve">nadużyciem jest </w:t>
      </w:r>
      <w:r w:rsidRPr="00484C57">
        <w:rPr>
          <w:rFonts w:asciiTheme="minorHAnsi" w:hAnsiTheme="minorHAnsi" w:cstheme="minorHAnsi"/>
          <w:color w:val="auto"/>
          <w:sz w:val="24"/>
          <w:szCs w:val="24"/>
          <w:lang w:eastAsia="en-US"/>
        </w:rPr>
        <w:t>zachowanie, którego celem jest wyłącznie uzyskanie wynikającego z</w:t>
      </w:r>
      <w:r w:rsidR="00E85689">
        <w:rPr>
          <w:rFonts w:asciiTheme="minorHAnsi" w:hAnsiTheme="minorHAnsi" w:cstheme="minorHAnsi"/>
          <w:color w:val="auto"/>
          <w:sz w:val="24"/>
          <w:szCs w:val="24"/>
          <w:lang w:eastAsia="en-US"/>
        </w:rPr>
        <w:t> </w:t>
      </w:r>
      <w:r w:rsidRPr="00484C57">
        <w:rPr>
          <w:rFonts w:asciiTheme="minorHAnsi" w:hAnsiTheme="minorHAnsi" w:cstheme="minorHAnsi"/>
          <w:color w:val="auto"/>
          <w:sz w:val="24"/>
          <w:szCs w:val="24"/>
          <w:lang w:eastAsia="en-US"/>
        </w:rPr>
        <w:t>dyrektywy prawa do swobodnego przemieszczania się i pobytu, które, mimo że formalnie spełnia kryteria określone w prawie wspólnotowym, nie jest jednak zgodne z celem tego prawa</w:t>
      </w:r>
      <w:r w:rsidRPr="008562D5">
        <w:rPr>
          <w:rFonts w:asciiTheme="minorHAnsi" w:hAnsiTheme="minorHAnsi" w:cstheme="minorHAnsi"/>
          <w:color w:val="auto"/>
          <w:sz w:val="24"/>
          <w:szCs w:val="24"/>
          <w:lang w:eastAsia="en-US"/>
        </w:rPr>
        <w:t xml:space="preserve">. W komunikacie Komisja potwierdziła, </w:t>
      </w:r>
      <w:r w:rsidR="009D5D3E">
        <w:rPr>
          <w:rFonts w:asciiTheme="minorHAnsi" w:hAnsiTheme="minorHAnsi" w:cstheme="minorHAnsi"/>
          <w:color w:val="auto"/>
          <w:sz w:val="24"/>
          <w:szCs w:val="24"/>
          <w:lang w:eastAsia="en-US"/>
        </w:rPr>
        <w:t>że</w:t>
      </w:r>
      <w:r w:rsidR="009D5D3E" w:rsidRPr="008562D5">
        <w:rPr>
          <w:rFonts w:asciiTheme="minorHAnsi" w:hAnsiTheme="minorHAnsi" w:cstheme="minorHAnsi"/>
          <w:color w:val="auto"/>
          <w:sz w:val="24"/>
          <w:szCs w:val="24"/>
          <w:lang w:eastAsia="en-US"/>
        </w:rPr>
        <w:t xml:space="preserve"> </w:t>
      </w:r>
      <w:r w:rsidR="001D53EB" w:rsidRPr="008562D5">
        <w:rPr>
          <w:rFonts w:asciiTheme="minorHAnsi" w:hAnsiTheme="minorHAnsi" w:cstheme="minorHAnsi"/>
          <w:color w:val="auto"/>
          <w:sz w:val="24"/>
          <w:szCs w:val="24"/>
          <w:lang w:eastAsia="en-US"/>
        </w:rPr>
        <w:t>nadużycie może wystąpić także w</w:t>
      </w:r>
      <w:r w:rsidR="00E85689">
        <w:rPr>
          <w:rFonts w:asciiTheme="minorHAnsi" w:hAnsiTheme="minorHAnsi" w:cstheme="minorHAnsi"/>
          <w:color w:val="auto"/>
          <w:sz w:val="24"/>
          <w:szCs w:val="24"/>
          <w:lang w:eastAsia="en-US"/>
        </w:rPr>
        <w:t> </w:t>
      </w:r>
      <w:r w:rsidR="001D53EB" w:rsidRPr="008562D5">
        <w:rPr>
          <w:rFonts w:asciiTheme="minorHAnsi" w:hAnsiTheme="minorHAnsi" w:cstheme="minorHAnsi"/>
          <w:color w:val="auto"/>
          <w:sz w:val="24"/>
          <w:szCs w:val="24"/>
          <w:lang w:eastAsia="en-US"/>
        </w:rPr>
        <w:t xml:space="preserve">przypadkach, kiedy obywatel UE przeprowadza się do innego państwa członkowskiego np. wyłącznie w celu obejścia po powrocie do swojego państwa członkowskiego krajowych przepisów imigracyjnych umożliwiających dołączenie członków rodziny będących obywatelami kraju trzeciego, i powołuje się przy tym na swoje prawa przysługujące na mocy prawa wspólnotowego. W ocenie Komisji rozróżnienie pomiędzy rzeczywistym korzystaniem z prawa wspólnotowego a jego nadużyciem powinno opierać się na stwierdzeniu, czy korzystanie z praw wspólnotowych w przyjmującym państwie członkowskim miało rzeczywisty i efektywny charakter, co należy oceniać indywidualnie. Jeżeli korzystanie z praw wspólnotowych miało charakter rzeczywisty i efektywny, inne państwo członkowskie, np. państwo pochodzenia nie powinno dochodzić, jakie motywy osobiste były podstawą wcześniejszej przeprowadzki. </w:t>
      </w:r>
    </w:p>
    <w:p w14:paraId="79CA304C" w14:textId="20A1366C" w:rsidR="004D1D0F" w:rsidRDefault="004D1D0F" w:rsidP="009D5D3E">
      <w:pPr>
        <w:pStyle w:val="Akapitzlist"/>
        <w:spacing w:after="120" w:line="276" w:lineRule="auto"/>
        <w:ind w:left="215"/>
        <w:contextualSpacing w:val="0"/>
        <w:jc w:val="both"/>
        <w:rPr>
          <w:rFonts w:asciiTheme="minorHAnsi" w:hAnsiTheme="minorHAnsi" w:cstheme="minorHAnsi"/>
          <w:color w:val="auto"/>
          <w:sz w:val="24"/>
          <w:szCs w:val="24"/>
          <w:lang w:eastAsia="en-US"/>
        </w:rPr>
      </w:pPr>
      <w:r>
        <w:rPr>
          <w:rFonts w:asciiTheme="minorHAnsi" w:hAnsiTheme="minorHAnsi" w:cstheme="minorHAnsi"/>
          <w:sz w:val="24"/>
          <w:szCs w:val="24"/>
        </w:rPr>
        <w:t>W związku z tym zwracam się z prośbą o przedstawienie wyjaśnień odnoszących się do tego, czy projektowane rozwiązania będą stosowane z uwzględnieniem wspomnianych wytycznych albo o rozważenie wprowadzenia odpowiedni</w:t>
      </w:r>
      <w:r w:rsidR="00A8272D">
        <w:rPr>
          <w:rFonts w:asciiTheme="minorHAnsi" w:hAnsiTheme="minorHAnsi" w:cstheme="minorHAnsi"/>
          <w:sz w:val="24"/>
          <w:szCs w:val="24"/>
        </w:rPr>
        <w:t xml:space="preserve">ej zmiany przepisów, uwzględniającej te kryteria. </w:t>
      </w:r>
    </w:p>
    <w:p w14:paraId="5EC19463" w14:textId="1BB885A8" w:rsidR="00CF5932" w:rsidRDefault="001A3D9F" w:rsidP="001802EE">
      <w:pPr>
        <w:pStyle w:val="Akapitzlist"/>
        <w:numPr>
          <w:ilvl w:val="0"/>
          <w:numId w:val="3"/>
        </w:numPr>
        <w:spacing w:after="120" w:line="276" w:lineRule="auto"/>
        <w:ind w:left="215" w:hanging="357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8562D5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Zgodnie </w:t>
      </w:r>
      <w:r w:rsidR="003D57D8" w:rsidRPr="008562D5">
        <w:rPr>
          <w:rFonts w:asciiTheme="minorHAnsi" w:eastAsia="Times New Roman" w:hAnsiTheme="minorHAnsi" w:cstheme="minorHAnsi"/>
          <w:color w:val="auto"/>
          <w:sz w:val="24"/>
          <w:szCs w:val="24"/>
        </w:rPr>
        <w:t>z art. 1 pkt 20 projektu, planow</w:t>
      </w:r>
      <w:r w:rsidR="00D379C5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ana jest zmiana art. 23 ustawy </w:t>
      </w:r>
      <w:r w:rsidR="003D57D8" w:rsidRPr="008562D5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o wjeździe, </w:t>
      </w:r>
      <w:r w:rsidR="00D3732F">
        <w:rPr>
          <w:rFonts w:asciiTheme="minorHAnsi" w:hAnsiTheme="minorHAnsi" w:cstheme="minorHAnsi"/>
          <w:sz w:val="24"/>
          <w:szCs w:val="24"/>
        </w:rPr>
        <w:t>w której przewiduje się,</w:t>
      </w:r>
      <w:r w:rsidR="00AC568C">
        <w:rPr>
          <w:rFonts w:asciiTheme="minorHAnsi" w:hAnsiTheme="minorHAnsi" w:cstheme="minorHAnsi"/>
          <w:sz w:val="24"/>
          <w:szCs w:val="24"/>
        </w:rPr>
        <w:t xml:space="preserve"> że</w:t>
      </w:r>
      <w:r w:rsidR="00FF5BFB" w:rsidRPr="008562D5">
        <w:rPr>
          <w:rFonts w:asciiTheme="minorHAnsi" w:hAnsiTheme="minorHAnsi" w:cstheme="minorHAnsi"/>
          <w:sz w:val="24"/>
          <w:szCs w:val="24"/>
        </w:rPr>
        <w:t xml:space="preserve"> </w:t>
      </w:r>
      <w:r w:rsidR="00195718" w:rsidRPr="008562D5">
        <w:rPr>
          <w:rFonts w:asciiTheme="minorHAnsi" w:hAnsiTheme="minorHAnsi" w:cstheme="minorHAnsi"/>
          <w:sz w:val="24"/>
          <w:szCs w:val="24"/>
        </w:rPr>
        <w:t>prze</w:t>
      </w:r>
      <w:r w:rsidR="00195718">
        <w:rPr>
          <w:rFonts w:asciiTheme="minorHAnsi" w:hAnsiTheme="minorHAnsi" w:cstheme="minorHAnsi"/>
          <w:sz w:val="24"/>
          <w:szCs w:val="24"/>
        </w:rPr>
        <w:t>d</w:t>
      </w:r>
      <w:r w:rsidR="00195718" w:rsidRPr="008562D5">
        <w:rPr>
          <w:rFonts w:asciiTheme="minorHAnsi" w:hAnsiTheme="minorHAnsi" w:cstheme="minorHAnsi"/>
          <w:sz w:val="24"/>
          <w:szCs w:val="24"/>
        </w:rPr>
        <w:t xml:space="preserve"> </w:t>
      </w:r>
      <w:r w:rsidR="00FF5BFB" w:rsidRPr="008562D5">
        <w:rPr>
          <w:rFonts w:asciiTheme="minorHAnsi" w:hAnsiTheme="minorHAnsi" w:cstheme="minorHAnsi"/>
          <w:sz w:val="24"/>
          <w:szCs w:val="24"/>
        </w:rPr>
        <w:t>zarejestrowaniem pobytu obywatela UE lub przed wydaniem karty pobytowej organ prowadzący postępowanie w sprawie o zarejestrowanie pobytu lub</w:t>
      </w:r>
      <w:r w:rsidR="00E85689">
        <w:rPr>
          <w:rFonts w:asciiTheme="minorHAnsi" w:hAnsiTheme="minorHAnsi" w:cstheme="minorHAnsi"/>
          <w:sz w:val="24"/>
          <w:szCs w:val="24"/>
        </w:rPr>
        <w:t> </w:t>
      </w:r>
      <w:r w:rsidR="00FF5BFB" w:rsidRPr="008562D5">
        <w:rPr>
          <w:rFonts w:asciiTheme="minorHAnsi" w:hAnsiTheme="minorHAnsi" w:cstheme="minorHAnsi"/>
          <w:sz w:val="24"/>
          <w:szCs w:val="24"/>
        </w:rPr>
        <w:t>o</w:t>
      </w:r>
      <w:r w:rsidR="00E85689">
        <w:rPr>
          <w:rFonts w:asciiTheme="minorHAnsi" w:hAnsiTheme="minorHAnsi" w:cstheme="minorHAnsi"/>
          <w:sz w:val="24"/>
          <w:szCs w:val="24"/>
        </w:rPr>
        <w:t> </w:t>
      </w:r>
      <w:r w:rsidR="00FF5BFB" w:rsidRPr="008562D5">
        <w:rPr>
          <w:rFonts w:asciiTheme="minorHAnsi" w:hAnsiTheme="minorHAnsi" w:cstheme="minorHAnsi"/>
          <w:sz w:val="24"/>
          <w:szCs w:val="24"/>
        </w:rPr>
        <w:t xml:space="preserve">wydanie karty pobytowej zwraca się do komendanta oddziału Straży Granicznej, komendanta wojewódzkiego Policji i Szefa Agencji Bezpieczeństwa Wewnętrznego </w:t>
      </w:r>
      <w:r w:rsidR="00FF5BFB" w:rsidRPr="008562D5">
        <w:rPr>
          <w:rFonts w:asciiTheme="minorHAnsi" w:hAnsiTheme="minorHAnsi" w:cstheme="minorHAnsi"/>
          <w:sz w:val="24"/>
          <w:szCs w:val="24"/>
        </w:rPr>
        <w:lastRenderedPageBreak/>
        <w:t>z</w:t>
      </w:r>
      <w:r w:rsidR="00E85689">
        <w:rPr>
          <w:rFonts w:asciiTheme="minorHAnsi" w:hAnsiTheme="minorHAnsi" w:cstheme="minorHAnsi"/>
          <w:sz w:val="24"/>
          <w:szCs w:val="24"/>
        </w:rPr>
        <w:t> </w:t>
      </w:r>
      <w:r w:rsidR="00FF5BFB" w:rsidRPr="008562D5">
        <w:rPr>
          <w:rFonts w:asciiTheme="minorHAnsi" w:hAnsiTheme="minorHAnsi" w:cstheme="minorHAnsi"/>
          <w:sz w:val="24"/>
          <w:szCs w:val="24"/>
        </w:rPr>
        <w:t>wnioskiem o przekazanie informacji, czy wjazd obywatela UE lub członka rodziny niebędącego obywatelem UE na terytorium Rzeczypospolitej Polskiej i ich pobyt na tym terytorium mogą stanowić zagrożenie dla obronności lub bezpieczeństwa państwa lub</w:t>
      </w:r>
      <w:r w:rsidR="00E85689">
        <w:rPr>
          <w:rFonts w:asciiTheme="minorHAnsi" w:hAnsiTheme="minorHAnsi" w:cstheme="minorHAnsi"/>
          <w:sz w:val="24"/>
          <w:szCs w:val="24"/>
        </w:rPr>
        <w:t> </w:t>
      </w:r>
      <w:r w:rsidR="00FF5BFB" w:rsidRPr="008562D5">
        <w:rPr>
          <w:rFonts w:asciiTheme="minorHAnsi" w:hAnsiTheme="minorHAnsi" w:cstheme="minorHAnsi"/>
          <w:sz w:val="24"/>
          <w:szCs w:val="24"/>
        </w:rPr>
        <w:t xml:space="preserve">ochrony bezpieczeństwa i porządku publicznego. Zgodnie z </w:t>
      </w:r>
      <w:r w:rsidR="00462F68" w:rsidRPr="008562D5">
        <w:rPr>
          <w:rFonts w:asciiTheme="minorHAnsi" w:hAnsiTheme="minorHAnsi" w:cstheme="minorHAnsi"/>
          <w:sz w:val="24"/>
          <w:szCs w:val="24"/>
        </w:rPr>
        <w:t xml:space="preserve">projektowanym </w:t>
      </w:r>
      <w:r w:rsidR="00462F68" w:rsidRPr="008562D5">
        <w:rPr>
          <w:rFonts w:asciiTheme="minorHAnsi" w:hAnsiTheme="minorHAnsi" w:cstheme="minorHAnsi"/>
          <w:color w:val="auto"/>
          <w:sz w:val="24"/>
          <w:szCs w:val="24"/>
          <w:lang w:eastAsia="en-US"/>
        </w:rPr>
        <w:t>art. 23 ust. 2 komendant oddziału Straży Granicznej, komendant wojewódzki Policji i Szef Agencji Bezpieczeństwa będą mieli 30 dni (z możliwością przedłużenia do 60 dni – ust. 3) na</w:t>
      </w:r>
      <w:r w:rsidR="007522A4">
        <w:rPr>
          <w:rFonts w:asciiTheme="minorHAnsi" w:hAnsiTheme="minorHAnsi" w:cstheme="minorHAnsi"/>
          <w:color w:val="auto"/>
          <w:sz w:val="24"/>
          <w:szCs w:val="24"/>
          <w:lang w:eastAsia="en-US"/>
        </w:rPr>
        <w:t> </w:t>
      </w:r>
      <w:r w:rsidR="00462F68" w:rsidRPr="008562D5">
        <w:rPr>
          <w:rFonts w:asciiTheme="minorHAnsi" w:hAnsiTheme="minorHAnsi" w:cstheme="minorHAnsi"/>
          <w:color w:val="auto"/>
          <w:sz w:val="24"/>
          <w:szCs w:val="24"/>
          <w:lang w:eastAsia="en-US"/>
        </w:rPr>
        <w:t>udzielenie tej informacji, a w razie braku odpowiedzi organ rozpatrujący sprawę będzie mógł uznać, że wymóg uzyskania informacji został spełniony (ust. 4).</w:t>
      </w:r>
      <w:r w:rsidR="00B70D4D" w:rsidRPr="008562D5">
        <w:rPr>
          <w:rFonts w:asciiTheme="minorHAnsi" w:hAnsiTheme="minorHAnsi" w:cstheme="minorHAnsi"/>
          <w:color w:val="auto"/>
          <w:sz w:val="24"/>
          <w:szCs w:val="24"/>
          <w:lang w:eastAsia="en-US"/>
        </w:rPr>
        <w:t xml:space="preserve"> W tym kontekście należy wskazać, że </w:t>
      </w:r>
      <w:r w:rsidR="004F15D2">
        <w:rPr>
          <w:rFonts w:asciiTheme="minorHAnsi" w:hAnsiTheme="minorHAnsi" w:cstheme="minorHAnsi"/>
          <w:color w:val="auto"/>
          <w:sz w:val="24"/>
          <w:szCs w:val="24"/>
          <w:lang w:eastAsia="en-US"/>
        </w:rPr>
        <w:t>obecnie, zgodnie z</w:t>
      </w:r>
      <w:r w:rsidR="006A5030" w:rsidRPr="008562D5">
        <w:rPr>
          <w:rFonts w:asciiTheme="minorHAnsi" w:hAnsiTheme="minorHAnsi" w:cstheme="minorHAnsi"/>
          <w:color w:val="auto"/>
          <w:sz w:val="24"/>
          <w:szCs w:val="24"/>
          <w:lang w:eastAsia="en-US"/>
        </w:rPr>
        <w:t xml:space="preserve"> art. 23</w:t>
      </w:r>
      <w:r w:rsidR="006A5030">
        <w:rPr>
          <w:rFonts w:asciiTheme="minorHAnsi" w:hAnsiTheme="minorHAnsi" w:cstheme="minorHAnsi"/>
          <w:color w:val="auto"/>
          <w:sz w:val="24"/>
          <w:szCs w:val="24"/>
          <w:lang w:eastAsia="en-US"/>
        </w:rPr>
        <w:t xml:space="preserve"> ustawy o wjeździe</w:t>
      </w:r>
      <w:r w:rsidR="006A5030" w:rsidRPr="008562D5">
        <w:rPr>
          <w:rFonts w:asciiTheme="minorHAnsi" w:hAnsiTheme="minorHAnsi" w:cstheme="minorHAnsi"/>
          <w:color w:val="auto"/>
          <w:sz w:val="24"/>
          <w:szCs w:val="24"/>
          <w:lang w:eastAsia="en-US"/>
        </w:rPr>
        <w:t>, przekazanie tych informacji następuje niezwłocznie</w:t>
      </w:r>
      <w:r w:rsidR="006A5030">
        <w:rPr>
          <w:rFonts w:asciiTheme="minorHAnsi" w:hAnsiTheme="minorHAnsi" w:cstheme="minorHAnsi"/>
          <w:color w:val="auto"/>
          <w:sz w:val="24"/>
          <w:szCs w:val="24"/>
          <w:lang w:eastAsia="en-US"/>
        </w:rPr>
        <w:t xml:space="preserve">. Z kolei </w:t>
      </w:r>
      <w:r w:rsidR="005D16E4">
        <w:rPr>
          <w:rFonts w:asciiTheme="minorHAnsi" w:hAnsiTheme="minorHAnsi" w:cstheme="minorHAnsi"/>
          <w:color w:val="auto"/>
          <w:sz w:val="24"/>
          <w:szCs w:val="24"/>
          <w:lang w:eastAsia="en-US"/>
        </w:rPr>
        <w:t xml:space="preserve">stosownie do </w:t>
      </w:r>
      <w:r w:rsidR="00B70D4D" w:rsidRPr="008562D5">
        <w:rPr>
          <w:rFonts w:asciiTheme="minorHAnsi" w:hAnsiTheme="minorHAnsi" w:cstheme="minorHAnsi"/>
          <w:color w:val="auto"/>
          <w:sz w:val="24"/>
          <w:szCs w:val="24"/>
          <w:lang w:eastAsia="en-US"/>
        </w:rPr>
        <w:t>art. 22 tej ustawy, zarejestrowania pobytu i</w:t>
      </w:r>
      <w:r w:rsidR="007522A4">
        <w:rPr>
          <w:rFonts w:asciiTheme="minorHAnsi" w:hAnsiTheme="minorHAnsi" w:cstheme="minorHAnsi"/>
          <w:color w:val="auto"/>
          <w:sz w:val="24"/>
          <w:szCs w:val="24"/>
          <w:lang w:eastAsia="en-US"/>
        </w:rPr>
        <w:t> </w:t>
      </w:r>
      <w:r w:rsidR="00B70D4D" w:rsidRPr="008562D5">
        <w:rPr>
          <w:rFonts w:asciiTheme="minorHAnsi" w:hAnsiTheme="minorHAnsi" w:cstheme="minorHAnsi"/>
          <w:color w:val="auto"/>
          <w:sz w:val="24"/>
          <w:szCs w:val="24"/>
          <w:lang w:eastAsia="en-US"/>
        </w:rPr>
        <w:t xml:space="preserve">wydania zaświadczenia o zarejestrowaniu pobytu obywatela UE dokonuje się niezwłocznie, a kartę pobytu członka rodziny obywatela UE wydaje się nie później niż w terminie 6 miesięcy od dnia złożenia wniosku o jej wydanie, albo w tych terminach odmawia się zarejestrowania pobytu lub wydania karty. Przepis </w:t>
      </w:r>
      <w:r w:rsidR="00917A7A" w:rsidRPr="008562D5">
        <w:rPr>
          <w:rFonts w:asciiTheme="minorHAnsi" w:hAnsiTheme="minorHAnsi" w:cstheme="minorHAnsi"/>
          <w:color w:val="auto"/>
          <w:sz w:val="24"/>
          <w:szCs w:val="24"/>
          <w:lang w:eastAsia="en-US"/>
        </w:rPr>
        <w:t>ten stanowi transpozycję art. 8 ust.</w:t>
      </w:r>
      <w:r w:rsidR="004F15D2">
        <w:rPr>
          <w:rFonts w:asciiTheme="minorHAnsi" w:hAnsiTheme="minorHAnsi" w:cstheme="minorHAnsi"/>
          <w:color w:val="auto"/>
          <w:sz w:val="24"/>
          <w:szCs w:val="24"/>
          <w:lang w:eastAsia="en-US"/>
        </w:rPr>
        <w:t xml:space="preserve"> </w:t>
      </w:r>
      <w:r w:rsidR="00917A7A" w:rsidRPr="008562D5">
        <w:rPr>
          <w:rFonts w:asciiTheme="minorHAnsi" w:hAnsiTheme="minorHAnsi" w:cstheme="minorHAnsi"/>
          <w:color w:val="auto"/>
          <w:sz w:val="24"/>
          <w:szCs w:val="24"/>
          <w:lang w:eastAsia="en-US"/>
        </w:rPr>
        <w:t xml:space="preserve">2 </w:t>
      </w:r>
      <w:r w:rsidR="004F15D2">
        <w:rPr>
          <w:rFonts w:asciiTheme="minorHAnsi" w:hAnsiTheme="minorHAnsi" w:cstheme="minorHAnsi"/>
          <w:color w:val="auto"/>
          <w:sz w:val="24"/>
          <w:szCs w:val="24"/>
          <w:lang w:eastAsia="en-US"/>
        </w:rPr>
        <w:t>(</w:t>
      </w:r>
      <w:r w:rsidR="00917A7A" w:rsidRPr="008562D5">
        <w:rPr>
          <w:rFonts w:asciiTheme="minorHAnsi" w:hAnsiTheme="minorHAnsi" w:cstheme="minorHAnsi"/>
          <w:color w:val="auto"/>
          <w:sz w:val="24"/>
          <w:szCs w:val="24"/>
          <w:lang w:eastAsia="en-US"/>
        </w:rPr>
        <w:t>zd</w:t>
      </w:r>
      <w:r w:rsidR="004F15D2">
        <w:rPr>
          <w:rFonts w:asciiTheme="minorHAnsi" w:hAnsiTheme="minorHAnsi" w:cstheme="minorHAnsi"/>
          <w:color w:val="auto"/>
          <w:sz w:val="24"/>
          <w:szCs w:val="24"/>
          <w:lang w:eastAsia="en-US"/>
        </w:rPr>
        <w:t>anie drugie)</w:t>
      </w:r>
      <w:r w:rsidR="00917A7A" w:rsidRPr="008562D5">
        <w:rPr>
          <w:rFonts w:asciiTheme="minorHAnsi" w:hAnsiTheme="minorHAnsi" w:cstheme="minorHAnsi"/>
          <w:color w:val="auto"/>
          <w:sz w:val="24"/>
          <w:szCs w:val="24"/>
          <w:lang w:eastAsia="en-US"/>
        </w:rPr>
        <w:t xml:space="preserve"> dyrektywy </w:t>
      </w:r>
      <w:r w:rsidR="00917A7A" w:rsidRPr="008562D5">
        <w:rPr>
          <w:rFonts w:asciiTheme="minorHAnsi" w:hAnsiTheme="minorHAnsi" w:cstheme="minorHAnsi"/>
          <w:sz w:val="24"/>
          <w:szCs w:val="24"/>
        </w:rPr>
        <w:t>2004/38/WE</w:t>
      </w:r>
      <w:r w:rsidR="004F15D2">
        <w:rPr>
          <w:rFonts w:asciiTheme="minorHAnsi" w:hAnsiTheme="minorHAnsi" w:cstheme="minorHAnsi"/>
          <w:sz w:val="24"/>
          <w:szCs w:val="24"/>
        </w:rPr>
        <w:t>,</w:t>
      </w:r>
      <w:r w:rsidR="00917A7A" w:rsidRPr="008562D5">
        <w:rPr>
          <w:rFonts w:asciiTheme="minorHAnsi" w:hAnsiTheme="minorHAnsi" w:cstheme="minorHAnsi"/>
          <w:sz w:val="24"/>
          <w:szCs w:val="24"/>
        </w:rPr>
        <w:t xml:space="preserve"> który nakłada na państwa członkowskie obowiązek niezwłocznego wydania zaświadczenia o rejestracji. </w:t>
      </w:r>
    </w:p>
    <w:p w14:paraId="327D4AB5" w14:textId="623A23D6" w:rsidR="00CF5932" w:rsidRDefault="00CF5932" w:rsidP="00CF5932">
      <w:pPr>
        <w:pStyle w:val="Akapitzlist"/>
        <w:spacing w:after="120" w:line="276" w:lineRule="auto"/>
        <w:ind w:left="215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 związku z tym zwracam uwagę na to, że ustalenie tak długich terminów na przekazanie informacji o tym, czy </w:t>
      </w:r>
      <w:r w:rsidRPr="00CF5932">
        <w:rPr>
          <w:rFonts w:asciiTheme="minorHAnsi" w:hAnsiTheme="minorHAnsi" w:cstheme="minorHAnsi"/>
          <w:sz w:val="24"/>
          <w:szCs w:val="24"/>
        </w:rPr>
        <w:t xml:space="preserve">wjazd obywatela UE lub członka rodziny niebędącego obywatelem UE na terytorium </w:t>
      </w:r>
      <w:r>
        <w:rPr>
          <w:rFonts w:asciiTheme="minorHAnsi" w:hAnsiTheme="minorHAnsi" w:cstheme="minorHAnsi"/>
          <w:sz w:val="24"/>
          <w:szCs w:val="24"/>
        </w:rPr>
        <w:t>Polski</w:t>
      </w:r>
      <w:r w:rsidRPr="00CF5932">
        <w:rPr>
          <w:rFonts w:asciiTheme="minorHAnsi" w:hAnsiTheme="minorHAnsi" w:cstheme="minorHAnsi"/>
          <w:sz w:val="24"/>
          <w:szCs w:val="24"/>
        </w:rPr>
        <w:t xml:space="preserve"> i ich pobyt na tym terytorium mogą stanowić zagrożenie dla</w:t>
      </w:r>
      <w:r w:rsidR="007522A4">
        <w:rPr>
          <w:rFonts w:asciiTheme="minorHAnsi" w:hAnsiTheme="minorHAnsi" w:cstheme="minorHAnsi"/>
          <w:sz w:val="24"/>
          <w:szCs w:val="24"/>
        </w:rPr>
        <w:t> </w:t>
      </w:r>
      <w:r w:rsidRPr="00CF5932">
        <w:rPr>
          <w:rFonts w:asciiTheme="minorHAnsi" w:hAnsiTheme="minorHAnsi" w:cstheme="minorHAnsi"/>
          <w:sz w:val="24"/>
          <w:szCs w:val="24"/>
        </w:rPr>
        <w:t xml:space="preserve">obronności lub bezpieczeństwa państwa lub ochrony bezpieczeństwa i </w:t>
      </w:r>
      <w:r>
        <w:rPr>
          <w:rFonts w:asciiTheme="minorHAnsi" w:hAnsiTheme="minorHAnsi" w:cstheme="minorHAnsi"/>
          <w:sz w:val="24"/>
          <w:szCs w:val="24"/>
        </w:rPr>
        <w:t xml:space="preserve">porządku publicznego (30 dni lub, w uzasadnionych przypadkach 60 dni) </w:t>
      </w:r>
      <w:r w:rsidR="00C13515">
        <w:rPr>
          <w:rFonts w:asciiTheme="minorHAnsi" w:hAnsiTheme="minorHAnsi" w:cstheme="minorHAnsi"/>
          <w:sz w:val="24"/>
          <w:szCs w:val="24"/>
        </w:rPr>
        <w:t>może powodować, że wydanie</w:t>
      </w:r>
      <w:r w:rsidR="00C13515" w:rsidRPr="00C13515">
        <w:rPr>
          <w:rFonts w:asciiTheme="minorHAnsi" w:hAnsiTheme="minorHAnsi" w:cstheme="minorHAnsi"/>
          <w:sz w:val="24"/>
          <w:szCs w:val="24"/>
        </w:rPr>
        <w:t xml:space="preserve"> zaświadczenia o zarejestrowaniu pobytu obywatela U</w:t>
      </w:r>
      <w:r w:rsidR="00C13515">
        <w:rPr>
          <w:rFonts w:asciiTheme="minorHAnsi" w:hAnsiTheme="minorHAnsi" w:cstheme="minorHAnsi"/>
          <w:sz w:val="24"/>
          <w:szCs w:val="24"/>
        </w:rPr>
        <w:t>E</w:t>
      </w:r>
      <w:r w:rsidR="004E7930">
        <w:rPr>
          <w:rFonts w:asciiTheme="minorHAnsi" w:hAnsiTheme="minorHAnsi" w:cstheme="minorHAnsi"/>
          <w:sz w:val="24"/>
          <w:szCs w:val="24"/>
        </w:rPr>
        <w:t xml:space="preserve">, o którym jest mowa w art. 22 ustawy, </w:t>
      </w:r>
      <w:r w:rsidR="00C13515">
        <w:rPr>
          <w:rFonts w:asciiTheme="minorHAnsi" w:hAnsiTheme="minorHAnsi" w:cstheme="minorHAnsi"/>
          <w:sz w:val="24"/>
          <w:szCs w:val="24"/>
        </w:rPr>
        <w:t xml:space="preserve">nie </w:t>
      </w:r>
      <w:r w:rsidR="004E7930">
        <w:rPr>
          <w:rFonts w:asciiTheme="minorHAnsi" w:hAnsiTheme="minorHAnsi" w:cstheme="minorHAnsi"/>
          <w:sz w:val="24"/>
          <w:szCs w:val="24"/>
        </w:rPr>
        <w:t>nastąpi</w:t>
      </w:r>
      <w:r w:rsidR="00C13515">
        <w:rPr>
          <w:rFonts w:asciiTheme="minorHAnsi" w:hAnsiTheme="minorHAnsi" w:cstheme="minorHAnsi"/>
          <w:sz w:val="24"/>
          <w:szCs w:val="24"/>
        </w:rPr>
        <w:t xml:space="preserve"> „niezwłocznie”, a zatem w zgodzie z wymogami art.</w:t>
      </w:r>
      <w:r w:rsidR="004E7930">
        <w:rPr>
          <w:rFonts w:asciiTheme="minorHAnsi" w:hAnsiTheme="minorHAnsi" w:cstheme="minorHAnsi"/>
          <w:sz w:val="24"/>
          <w:szCs w:val="24"/>
        </w:rPr>
        <w:t xml:space="preserve"> </w:t>
      </w:r>
      <w:r w:rsidR="00E16017">
        <w:rPr>
          <w:rFonts w:asciiTheme="minorHAnsi" w:hAnsiTheme="minorHAnsi" w:cstheme="minorHAnsi"/>
          <w:sz w:val="24"/>
          <w:szCs w:val="24"/>
        </w:rPr>
        <w:t>8 ust. 2 dyrekty</w:t>
      </w:r>
      <w:r w:rsidR="00B077F4">
        <w:rPr>
          <w:rFonts w:asciiTheme="minorHAnsi" w:hAnsiTheme="minorHAnsi" w:cstheme="minorHAnsi"/>
          <w:sz w:val="24"/>
          <w:szCs w:val="24"/>
        </w:rPr>
        <w:t>wy 2004/38. Należy bowiem zauważyć, że</w:t>
      </w:r>
      <w:r w:rsidR="00E16017">
        <w:rPr>
          <w:rFonts w:asciiTheme="minorHAnsi" w:hAnsiTheme="minorHAnsi" w:cstheme="minorHAnsi"/>
          <w:sz w:val="24"/>
          <w:szCs w:val="24"/>
        </w:rPr>
        <w:t xml:space="preserve"> </w:t>
      </w:r>
      <w:r w:rsidR="00B077F4">
        <w:rPr>
          <w:rFonts w:asciiTheme="minorHAnsi" w:hAnsiTheme="minorHAnsi" w:cstheme="minorHAnsi"/>
          <w:sz w:val="24"/>
          <w:szCs w:val="24"/>
        </w:rPr>
        <w:t xml:space="preserve">już sam projektowany </w:t>
      </w:r>
      <w:r w:rsidR="00804BB4">
        <w:rPr>
          <w:rFonts w:asciiTheme="minorHAnsi" w:hAnsiTheme="minorHAnsi" w:cstheme="minorHAnsi"/>
          <w:sz w:val="24"/>
          <w:szCs w:val="24"/>
        </w:rPr>
        <w:t xml:space="preserve">krótszy </w:t>
      </w:r>
      <w:r w:rsidR="00B077F4">
        <w:rPr>
          <w:rFonts w:asciiTheme="minorHAnsi" w:hAnsiTheme="minorHAnsi" w:cstheme="minorHAnsi"/>
          <w:sz w:val="24"/>
          <w:szCs w:val="24"/>
        </w:rPr>
        <w:t>okres 3</w:t>
      </w:r>
      <w:r w:rsidR="00E16017">
        <w:rPr>
          <w:rFonts w:asciiTheme="minorHAnsi" w:hAnsiTheme="minorHAnsi" w:cstheme="minorHAnsi"/>
          <w:sz w:val="24"/>
          <w:szCs w:val="24"/>
        </w:rPr>
        <w:t xml:space="preserve">0 dni </w:t>
      </w:r>
      <w:r w:rsidR="00550774">
        <w:rPr>
          <w:rFonts w:asciiTheme="minorHAnsi" w:hAnsiTheme="minorHAnsi" w:cstheme="minorHAnsi"/>
          <w:sz w:val="24"/>
          <w:szCs w:val="24"/>
        </w:rPr>
        <w:t xml:space="preserve">na przekazanie tych informacji </w:t>
      </w:r>
      <w:r w:rsidR="00B077F4">
        <w:rPr>
          <w:rFonts w:asciiTheme="minorHAnsi" w:hAnsiTheme="minorHAnsi" w:cstheme="minorHAnsi"/>
          <w:sz w:val="24"/>
          <w:szCs w:val="24"/>
        </w:rPr>
        <w:t>budzi wątpliwości co do tego, czy odpowiada on</w:t>
      </w:r>
      <w:r w:rsidR="007522A4">
        <w:rPr>
          <w:rFonts w:asciiTheme="minorHAnsi" w:hAnsiTheme="minorHAnsi" w:cstheme="minorHAnsi"/>
          <w:sz w:val="24"/>
          <w:szCs w:val="24"/>
        </w:rPr>
        <w:t> </w:t>
      </w:r>
      <w:r w:rsidR="00B077F4">
        <w:rPr>
          <w:rFonts w:asciiTheme="minorHAnsi" w:hAnsiTheme="minorHAnsi" w:cstheme="minorHAnsi"/>
          <w:sz w:val="24"/>
          <w:szCs w:val="24"/>
        </w:rPr>
        <w:t xml:space="preserve">zakresowi pojęcia „niezwłocznie”, przy czym do tego terminu, należy doliczyć jeszcze czas na wydanie samego zaświadczenia. </w:t>
      </w:r>
    </w:p>
    <w:p w14:paraId="1D17CCE1" w14:textId="2F4AD409" w:rsidR="00E60764" w:rsidRDefault="00E60764" w:rsidP="00CF5932">
      <w:pPr>
        <w:pStyle w:val="Akapitzlist"/>
        <w:spacing w:after="120" w:line="276" w:lineRule="auto"/>
        <w:ind w:left="215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 związku z tym kwestia ta wymaga ponownej analizy i rozważenia skrócenia terminów przewidzianych w projektowan</w:t>
      </w:r>
      <w:r w:rsidR="005467D1">
        <w:rPr>
          <w:rFonts w:asciiTheme="minorHAnsi" w:hAnsiTheme="minorHAnsi" w:cstheme="minorHAnsi"/>
          <w:sz w:val="24"/>
          <w:szCs w:val="24"/>
        </w:rPr>
        <w:t xml:space="preserve">ej zmianie </w:t>
      </w:r>
      <w:r>
        <w:rPr>
          <w:rFonts w:asciiTheme="minorHAnsi" w:hAnsiTheme="minorHAnsi" w:cstheme="minorHAnsi"/>
          <w:sz w:val="24"/>
          <w:szCs w:val="24"/>
        </w:rPr>
        <w:t>art.</w:t>
      </w:r>
      <w:r w:rsidR="00144397">
        <w:rPr>
          <w:rFonts w:asciiTheme="minorHAnsi" w:hAnsiTheme="minorHAnsi" w:cstheme="minorHAnsi"/>
          <w:sz w:val="24"/>
          <w:szCs w:val="24"/>
        </w:rPr>
        <w:t xml:space="preserve"> 23 ustawy. </w:t>
      </w:r>
    </w:p>
    <w:p w14:paraId="360ECE04" w14:textId="6AC485B5" w:rsidR="00356F13" w:rsidRPr="00356F13" w:rsidRDefault="00721D00" w:rsidP="007522A4">
      <w:pPr>
        <w:pStyle w:val="Akapitzlist"/>
        <w:numPr>
          <w:ilvl w:val="0"/>
          <w:numId w:val="3"/>
        </w:numPr>
        <w:spacing w:after="120" w:line="276" w:lineRule="auto"/>
        <w:ind w:left="215" w:hanging="357"/>
        <w:contextualSpacing w:val="0"/>
        <w:jc w:val="both"/>
        <w:rPr>
          <w:rFonts w:asciiTheme="minorHAnsi" w:eastAsia="Times New Roman" w:hAnsiTheme="minorHAnsi" w:cstheme="minorHAnsi"/>
          <w:i/>
          <w:color w:val="auto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Zgodnie z </w:t>
      </w:r>
      <w:r w:rsidR="0021295B" w:rsidRPr="008562D5">
        <w:rPr>
          <w:rFonts w:asciiTheme="minorHAnsi" w:hAnsiTheme="minorHAnsi" w:cstheme="minorHAnsi"/>
          <w:sz w:val="24"/>
          <w:szCs w:val="24"/>
        </w:rPr>
        <w:t xml:space="preserve"> art. 1 pkt 47 projektu, art</w:t>
      </w:r>
      <w:r w:rsidR="007522A4">
        <w:rPr>
          <w:rFonts w:asciiTheme="minorHAnsi" w:hAnsiTheme="minorHAnsi" w:cstheme="minorHAnsi"/>
          <w:sz w:val="24"/>
          <w:szCs w:val="24"/>
        </w:rPr>
        <w:t>ykułowi</w:t>
      </w:r>
      <w:r w:rsidR="0021295B" w:rsidRPr="008562D5">
        <w:rPr>
          <w:rFonts w:asciiTheme="minorHAnsi" w:hAnsiTheme="minorHAnsi" w:cstheme="minorHAnsi"/>
          <w:sz w:val="24"/>
          <w:szCs w:val="24"/>
        </w:rPr>
        <w:t xml:space="preserve"> 47 ust.</w:t>
      </w:r>
      <w:r w:rsidR="000B1D7A">
        <w:rPr>
          <w:rFonts w:asciiTheme="minorHAnsi" w:hAnsiTheme="minorHAnsi" w:cstheme="minorHAnsi"/>
          <w:sz w:val="24"/>
          <w:szCs w:val="24"/>
        </w:rPr>
        <w:t xml:space="preserve"> </w:t>
      </w:r>
      <w:r w:rsidR="0021295B" w:rsidRPr="008562D5">
        <w:rPr>
          <w:rFonts w:asciiTheme="minorHAnsi" w:hAnsiTheme="minorHAnsi" w:cstheme="minorHAnsi"/>
          <w:sz w:val="24"/>
          <w:szCs w:val="24"/>
        </w:rPr>
        <w:t xml:space="preserve">3 ustawy o wjeździe nadaje się nowe brzmienie, </w:t>
      </w:r>
      <w:r w:rsidR="002C1119">
        <w:rPr>
          <w:rFonts w:asciiTheme="minorHAnsi" w:hAnsiTheme="minorHAnsi" w:cstheme="minorHAnsi"/>
          <w:sz w:val="24"/>
          <w:szCs w:val="24"/>
        </w:rPr>
        <w:t>stosownie do którego</w:t>
      </w:r>
      <w:r w:rsidR="0021295B" w:rsidRPr="008562D5">
        <w:rPr>
          <w:rFonts w:asciiTheme="minorHAnsi" w:hAnsiTheme="minorHAnsi" w:cstheme="minorHAnsi"/>
          <w:sz w:val="24"/>
          <w:szCs w:val="24"/>
        </w:rPr>
        <w:t xml:space="preserve"> nieprzerwany pobyt na terytorium Polski (uprawniający do nabycia prawa stałego pobytu po okresie 5 lat ) przerywa nie tylko wykonanie decyzji o</w:t>
      </w:r>
      <w:r w:rsidR="007522A4">
        <w:rPr>
          <w:rFonts w:asciiTheme="minorHAnsi" w:hAnsiTheme="minorHAnsi" w:cstheme="minorHAnsi"/>
          <w:sz w:val="24"/>
          <w:szCs w:val="24"/>
        </w:rPr>
        <w:t> </w:t>
      </w:r>
      <w:r w:rsidR="0021295B" w:rsidRPr="008562D5">
        <w:rPr>
          <w:rFonts w:asciiTheme="minorHAnsi" w:hAnsiTheme="minorHAnsi" w:cstheme="minorHAnsi"/>
          <w:sz w:val="24"/>
          <w:szCs w:val="24"/>
        </w:rPr>
        <w:t xml:space="preserve">wydaleniu obywatela UE lub członka rodziny niebędącego obywatelem UE, ale także odbywanie kary pozbawienia wolności przez obywatela UE lub członka rodziny niebędącego obywatelem UE. Jak wynika z uzasadnienia, podstawą do wprowadzenia tego rozwiązania jest wyrok Trybunału </w:t>
      </w:r>
      <w:r w:rsidR="0021295B" w:rsidRPr="008562D5">
        <w:rPr>
          <w:rFonts w:asciiTheme="minorHAnsi" w:hAnsiTheme="minorHAnsi" w:cstheme="minorHAnsi"/>
          <w:color w:val="auto"/>
          <w:sz w:val="24"/>
          <w:szCs w:val="24"/>
          <w:lang w:eastAsia="en-US"/>
        </w:rPr>
        <w:t>Sprawiedliwości Unii Europejskiej w sprawie C-378/12</w:t>
      </w:r>
      <w:r w:rsidR="0021295B" w:rsidRPr="008562D5">
        <w:rPr>
          <w:rFonts w:asciiTheme="minorHAnsi" w:hAnsiTheme="minorHAnsi" w:cstheme="minorHAnsi"/>
          <w:i/>
          <w:color w:val="auto"/>
          <w:sz w:val="24"/>
          <w:szCs w:val="24"/>
          <w:lang w:eastAsia="en-US"/>
        </w:rPr>
        <w:t xml:space="preserve"> Onuekwere</w:t>
      </w:r>
      <w:r w:rsidR="0021295B" w:rsidRPr="008562D5">
        <w:rPr>
          <w:rFonts w:asciiTheme="minorHAnsi" w:hAnsiTheme="minorHAnsi" w:cstheme="minorHAnsi"/>
          <w:color w:val="auto"/>
          <w:sz w:val="24"/>
          <w:szCs w:val="24"/>
          <w:lang w:eastAsia="en-US"/>
        </w:rPr>
        <w:t>. W</w:t>
      </w:r>
      <w:r w:rsidR="007522A4">
        <w:t> </w:t>
      </w:r>
      <w:r w:rsidR="0021295B" w:rsidRPr="008562D5">
        <w:rPr>
          <w:rFonts w:asciiTheme="minorHAnsi" w:hAnsiTheme="minorHAnsi" w:cstheme="minorHAnsi"/>
          <w:color w:val="auto"/>
          <w:sz w:val="24"/>
          <w:szCs w:val="24"/>
          <w:lang w:eastAsia="en-US"/>
        </w:rPr>
        <w:t>wyroku tym Trybunał wskazał, że art. 16 ust. 2 dyrektywy 2004/38/WE należy interpretować w ten sposób, że okresy odbywania kary pozbawienia wolności w</w:t>
      </w:r>
      <w:r w:rsidR="007522A4">
        <w:rPr>
          <w:rFonts w:asciiTheme="minorHAnsi" w:hAnsiTheme="minorHAnsi" w:cstheme="minorHAnsi"/>
          <w:color w:val="auto"/>
          <w:sz w:val="24"/>
          <w:szCs w:val="24"/>
          <w:lang w:eastAsia="en-US"/>
        </w:rPr>
        <w:t> </w:t>
      </w:r>
      <w:r w:rsidR="0021295B" w:rsidRPr="008562D5">
        <w:rPr>
          <w:rFonts w:asciiTheme="minorHAnsi" w:hAnsiTheme="minorHAnsi" w:cstheme="minorHAnsi"/>
          <w:color w:val="auto"/>
          <w:sz w:val="24"/>
          <w:szCs w:val="24"/>
          <w:lang w:eastAsia="en-US"/>
        </w:rPr>
        <w:t xml:space="preserve">przyjmującym państwie członkowskim przez obywatela państwa trzeciego będącego członkiem rodziny obywatela UE, który nabył prawo stałego pobytu w tym państwie członkowskim podczas tych okresów, nie mogą być brane pod uwagę dla celów nabycia przez tego obywatela państwa trzeciego prawa stałego pobytu w rozumieniu tego przepisu. </w:t>
      </w:r>
      <w:r w:rsidR="0021295B" w:rsidRPr="008562D5">
        <w:rPr>
          <w:rFonts w:asciiTheme="minorHAnsi" w:hAnsiTheme="minorHAnsi" w:cstheme="minorHAnsi"/>
          <w:color w:val="auto"/>
          <w:sz w:val="24"/>
          <w:szCs w:val="24"/>
          <w:lang w:eastAsia="en-US"/>
        </w:rPr>
        <w:lastRenderedPageBreak/>
        <w:t xml:space="preserve">Ponadto w wyroku </w:t>
      </w:r>
      <w:r w:rsidR="00A77D79" w:rsidRPr="008562D5">
        <w:rPr>
          <w:rFonts w:asciiTheme="minorHAnsi" w:hAnsiTheme="minorHAnsi" w:cstheme="minorHAnsi"/>
          <w:color w:val="auto"/>
          <w:sz w:val="24"/>
          <w:szCs w:val="24"/>
          <w:lang w:eastAsia="en-US"/>
        </w:rPr>
        <w:t>tym Trybunał wskazał</w:t>
      </w:r>
      <w:r w:rsidR="0021295B" w:rsidRPr="008562D5">
        <w:rPr>
          <w:rFonts w:asciiTheme="minorHAnsi" w:hAnsiTheme="minorHAnsi" w:cstheme="minorHAnsi"/>
          <w:color w:val="auto"/>
          <w:sz w:val="24"/>
          <w:szCs w:val="24"/>
          <w:lang w:eastAsia="en-US"/>
        </w:rPr>
        <w:t>, iż art. 16 ust. 2 i 3 dyrektywy 2004/38 należy interpretować w ten sposób, że okresy odbywania kary pozbawienia wolności w</w:t>
      </w:r>
      <w:r w:rsidR="000751FB">
        <w:rPr>
          <w:rFonts w:asciiTheme="minorHAnsi" w:hAnsiTheme="minorHAnsi" w:cstheme="minorHAnsi"/>
          <w:color w:val="auto"/>
          <w:sz w:val="24"/>
          <w:szCs w:val="24"/>
          <w:lang w:eastAsia="en-US"/>
        </w:rPr>
        <w:t> </w:t>
      </w:r>
      <w:r w:rsidR="0021295B" w:rsidRPr="008562D5">
        <w:rPr>
          <w:rFonts w:asciiTheme="minorHAnsi" w:hAnsiTheme="minorHAnsi" w:cstheme="minorHAnsi"/>
          <w:color w:val="auto"/>
          <w:sz w:val="24"/>
          <w:szCs w:val="24"/>
          <w:lang w:eastAsia="en-US"/>
        </w:rPr>
        <w:t xml:space="preserve">przyjmującym państwie członkowskim przez obywatela państwa trzeciego będącego członkiem rodziny obywatela UE, który nabył prawo stałego pobytu w tym państwie członkowskim podczas tych okresów, przerywają ciągłość pobytu. </w:t>
      </w:r>
    </w:p>
    <w:p w14:paraId="6B49090A" w14:textId="232A3A2C" w:rsidR="00366BF0" w:rsidRPr="00366BF0" w:rsidRDefault="0081493B" w:rsidP="007522A4">
      <w:pPr>
        <w:pStyle w:val="Akapitzlist"/>
        <w:spacing w:after="120" w:line="276" w:lineRule="auto"/>
        <w:ind w:left="215"/>
        <w:contextualSpacing w:val="0"/>
        <w:jc w:val="both"/>
        <w:rPr>
          <w:rFonts w:asciiTheme="minorHAnsi" w:eastAsia="Times New Roman" w:hAnsiTheme="minorHAnsi" w:cstheme="minorHAnsi"/>
          <w:i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  <w:lang w:eastAsia="en-US"/>
        </w:rPr>
        <w:t xml:space="preserve">Po pierwsze należy zauważyć, </w:t>
      </w:r>
      <w:r w:rsidR="00051DCA">
        <w:rPr>
          <w:rFonts w:asciiTheme="minorHAnsi" w:hAnsiTheme="minorHAnsi" w:cstheme="minorHAnsi"/>
          <w:color w:val="auto"/>
          <w:sz w:val="24"/>
          <w:szCs w:val="24"/>
          <w:lang w:eastAsia="en-US"/>
        </w:rPr>
        <w:t>że wspomniany wyrok nie dotyczy</w:t>
      </w:r>
      <w:r>
        <w:rPr>
          <w:rFonts w:asciiTheme="minorHAnsi" w:hAnsiTheme="minorHAnsi" w:cstheme="minorHAnsi"/>
          <w:color w:val="auto"/>
          <w:sz w:val="24"/>
          <w:szCs w:val="24"/>
          <w:lang w:eastAsia="en-US"/>
        </w:rPr>
        <w:t xml:space="preserve"> </w:t>
      </w:r>
      <w:r w:rsidR="00952444">
        <w:rPr>
          <w:rFonts w:asciiTheme="minorHAnsi" w:hAnsiTheme="minorHAnsi" w:cstheme="minorHAnsi"/>
          <w:color w:val="auto"/>
          <w:sz w:val="24"/>
          <w:szCs w:val="24"/>
          <w:lang w:eastAsia="en-US"/>
        </w:rPr>
        <w:t xml:space="preserve">sytuacji obywatela UE, tylko obywatela </w:t>
      </w:r>
      <w:r w:rsidR="00551E33">
        <w:rPr>
          <w:rFonts w:asciiTheme="minorHAnsi" w:hAnsiTheme="minorHAnsi" w:cstheme="minorHAnsi"/>
          <w:color w:val="auto"/>
          <w:sz w:val="24"/>
          <w:szCs w:val="24"/>
          <w:lang w:eastAsia="en-US"/>
        </w:rPr>
        <w:t>państwa</w:t>
      </w:r>
      <w:r>
        <w:rPr>
          <w:rFonts w:asciiTheme="minorHAnsi" w:hAnsiTheme="minorHAnsi" w:cstheme="minorHAnsi"/>
          <w:color w:val="auto"/>
          <w:sz w:val="24"/>
          <w:szCs w:val="24"/>
          <w:lang w:eastAsia="en-US"/>
        </w:rPr>
        <w:t xml:space="preserve"> trzeciego, podczas gdy projektowany przepis dotyczy również tej</w:t>
      </w:r>
      <w:r w:rsidR="007522A4">
        <w:rPr>
          <w:rFonts w:asciiTheme="minorHAnsi" w:hAnsiTheme="minorHAnsi" w:cstheme="minorHAnsi"/>
          <w:color w:val="auto"/>
          <w:sz w:val="24"/>
          <w:szCs w:val="24"/>
          <w:lang w:eastAsia="en-US"/>
        </w:rPr>
        <w:t> </w:t>
      </w:r>
      <w:r>
        <w:rPr>
          <w:rFonts w:asciiTheme="minorHAnsi" w:hAnsiTheme="minorHAnsi" w:cstheme="minorHAnsi"/>
          <w:color w:val="auto"/>
          <w:sz w:val="24"/>
          <w:szCs w:val="24"/>
          <w:lang w:eastAsia="en-US"/>
        </w:rPr>
        <w:t xml:space="preserve">pierwszej kategorii osób. Po drugie, </w:t>
      </w:r>
      <w:r w:rsidR="00A77D79" w:rsidRPr="008562D5">
        <w:rPr>
          <w:rFonts w:asciiTheme="minorHAnsi" w:hAnsiTheme="minorHAnsi" w:cstheme="minorHAnsi"/>
          <w:color w:val="auto"/>
          <w:sz w:val="24"/>
          <w:szCs w:val="24"/>
          <w:lang w:eastAsia="en-US"/>
        </w:rPr>
        <w:t>wyrok w sprawie C-378/12</w:t>
      </w:r>
      <w:r w:rsidR="00A77D79" w:rsidRPr="008562D5">
        <w:rPr>
          <w:rFonts w:asciiTheme="minorHAnsi" w:hAnsiTheme="minorHAnsi" w:cstheme="minorHAnsi"/>
          <w:i/>
          <w:color w:val="auto"/>
          <w:sz w:val="24"/>
          <w:szCs w:val="24"/>
          <w:lang w:eastAsia="en-US"/>
        </w:rPr>
        <w:t xml:space="preserve"> Onuekwere</w:t>
      </w:r>
      <w:r w:rsidR="00A77D79" w:rsidRPr="008562D5">
        <w:rPr>
          <w:rFonts w:asciiTheme="minorHAnsi" w:hAnsiTheme="minorHAnsi" w:cstheme="minorHAnsi"/>
          <w:color w:val="auto"/>
          <w:sz w:val="24"/>
          <w:szCs w:val="24"/>
          <w:lang w:eastAsia="en-US"/>
        </w:rPr>
        <w:t xml:space="preserve"> nie </w:t>
      </w:r>
      <w:r w:rsidR="007C6F1F">
        <w:rPr>
          <w:rFonts w:asciiTheme="minorHAnsi" w:hAnsiTheme="minorHAnsi" w:cstheme="minorHAnsi"/>
          <w:color w:val="auto"/>
          <w:sz w:val="24"/>
          <w:szCs w:val="24"/>
          <w:lang w:eastAsia="en-US"/>
        </w:rPr>
        <w:t>odnosi się do</w:t>
      </w:r>
      <w:r w:rsidR="00A77D79" w:rsidRPr="008562D5">
        <w:rPr>
          <w:rFonts w:asciiTheme="minorHAnsi" w:hAnsiTheme="minorHAnsi" w:cstheme="minorHAnsi"/>
          <w:color w:val="auto"/>
          <w:sz w:val="24"/>
          <w:szCs w:val="24"/>
          <w:lang w:eastAsia="en-US"/>
        </w:rPr>
        <w:t xml:space="preserve"> art</w:t>
      </w:r>
      <w:r w:rsidR="000C3B03">
        <w:rPr>
          <w:rFonts w:asciiTheme="minorHAnsi" w:hAnsiTheme="minorHAnsi" w:cstheme="minorHAnsi"/>
          <w:color w:val="auto"/>
          <w:sz w:val="24"/>
          <w:szCs w:val="24"/>
          <w:lang w:eastAsia="en-US"/>
        </w:rPr>
        <w:t>. 16 ust.</w:t>
      </w:r>
      <w:r w:rsidR="007C6F1F">
        <w:rPr>
          <w:rFonts w:asciiTheme="minorHAnsi" w:hAnsiTheme="minorHAnsi" w:cstheme="minorHAnsi"/>
          <w:color w:val="auto"/>
          <w:sz w:val="24"/>
          <w:szCs w:val="24"/>
          <w:lang w:eastAsia="en-US"/>
        </w:rPr>
        <w:t xml:space="preserve"> </w:t>
      </w:r>
      <w:r w:rsidR="000C3B03">
        <w:rPr>
          <w:rFonts w:asciiTheme="minorHAnsi" w:hAnsiTheme="minorHAnsi" w:cstheme="minorHAnsi"/>
          <w:color w:val="auto"/>
          <w:sz w:val="24"/>
          <w:szCs w:val="24"/>
          <w:lang w:eastAsia="en-US"/>
        </w:rPr>
        <w:t>1 dyrektywy 2004/38/WE (</w:t>
      </w:r>
      <w:r w:rsidR="00865208">
        <w:rPr>
          <w:rFonts w:asciiTheme="minorHAnsi" w:hAnsiTheme="minorHAnsi" w:cstheme="minorHAnsi"/>
          <w:color w:val="auto"/>
          <w:sz w:val="24"/>
          <w:szCs w:val="24"/>
          <w:lang w:eastAsia="en-US"/>
        </w:rPr>
        <w:t>który dotyczy</w:t>
      </w:r>
      <w:r w:rsidR="00A77D79" w:rsidRPr="008562D5">
        <w:rPr>
          <w:rFonts w:asciiTheme="minorHAnsi" w:hAnsiTheme="minorHAnsi" w:cstheme="minorHAnsi"/>
          <w:color w:val="auto"/>
          <w:sz w:val="24"/>
          <w:szCs w:val="24"/>
          <w:lang w:eastAsia="en-US"/>
        </w:rPr>
        <w:t xml:space="preserve"> nabycia p</w:t>
      </w:r>
      <w:r w:rsidR="000C3B03">
        <w:rPr>
          <w:rFonts w:asciiTheme="minorHAnsi" w:hAnsiTheme="minorHAnsi" w:cstheme="minorHAnsi"/>
          <w:color w:val="auto"/>
          <w:sz w:val="24"/>
          <w:szCs w:val="24"/>
          <w:lang w:eastAsia="en-US"/>
        </w:rPr>
        <w:t>rawa pobytu przez</w:t>
      </w:r>
      <w:r w:rsidR="007522A4">
        <w:rPr>
          <w:rFonts w:asciiTheme="minorHAnsi" w:hAnsiTheme="minorHAnsi" w:cstheme="minorHAnsi"/>
          <w:color w:val="auto"/>
          <w:sz w:val="24"/>
          <w:szCs w:val="24"/>
          <w:lang w:eastAsia="en-US"/>
        </w:rPr>
        <w:t> </w:t>
      </w:r>
      <w:r w:rsidR="000C3B03">
        <w:rPr>
          <w:rFonts w:asciiTheme="minorHAnsi" w:hAnsiTheme="minorHAnsi" w:cstheme="minorHAnsi"/>
          <w:color w:val="auto"/>
          <w:sz w:val="24"/>
          <w:szCs w:val="24"/>
          <w:lang w:eastAsia="en-US"/>
        </w:rPr>
        <w:t>obywateli U</w:t>
      </w:r>
      <w:r w:rsidR="006E3477">
        <w:rPr>
          <w:rFonts w:asciiTheme="minorHAnsi" w:hAnsiTheme="minorHAnsi" w:cstheme="minorHAnsi"/>
          <w:color w:val="auto"/>
          <w:sz w:val="24"/>
          <w:szCs w:val="24"/>
          <w:lang w:eastAsia="en-US"/>
        </w:rPr>
        <w:t>E</w:t>
      </w:r>
      <w:r w:rsidR="000C3B03">
        <w:rPr>
          <w:rFonts w:asciiTheme="minorHAnsi" w:hAnsiTheme="minorHAnsi" w:cstheme="minorHAnsi"/>
          <w:color w:val="auto"/>
          <w:sz w:val="24"/>
          <w:szCs w:val="24"/>
          <w:lang w:eastAsia="en-US"/>
        </w:rPr>
        <w:t>)</w:t>
      </w:r>
      <w:r w:rsidR="00A77D79" w:rsidRPr="008562D5">
        <w:rPr>
          <w:rFonts w:asciiTheme="minorHAnsi" w:hAnsiTheme="minorHAnsi" w:cstheme="minorHAnsi"/>
          <w:color w:val="auto"/>
          <w:sz w:val="24"/>
          <w:szCs w:val="24"/>
          <w:lang w:eastAsia="en-US"/>
        </w:rPr>
        <w:t>, wobec czego istnieją zasadnicze wątpliwości, czy orzeczenie to może stanowić podstawę dla projektowanego przepisu w odniesieniu nie tylko do członka rodziny obywatela UE, ale także obywatela U</w:t>
      </w:r>
      <w:r w:rsidR="006E3477">
        <w:rPr>
          <w:rFonts w:asciiTheme="minorHAnsi" w:hAnsiTheme="minorHAnsi" w:cstheme="minorHAnsi"/>
          <w:color w:val="auto"/>
          <w:sz w:val="24"/>
          <w:szCs w:val="24"/>
          <w:lang w:eastAsia="en-US"/>
        </w:rPr>
        <w:t>E</w:t>
      </w:r>
      <w:r w:rsidR="00A77D79" w:rsidRPr="008562D5">
        <w:rPr>
          <w:rFonts w:asciiTheme="minorHAnsi" w:hAnsiTheme="minorHAnsi" w:cstheme="minorHAnsi"/>
          <w:color w:val="auto"/>
          <w:sz w:val="24"/>
          <w:szCs w:val="24"/>
          <w:lang w:eastAsia="en-US"/>
        </w:rPr>
        <w:t xml:space="preserve">. W </w:t>
      </w:r>
      <w:r w:rsidR="00491D19" w:rsidRPr="008562D5">
        <w:rPr>
          <w:rFonts w:asciiTheme="minorHAnsi" w:hAnsiTheme="minorHAnsi" w:cstheme="minorHAnsi"/>
          <w:color w:val="auto"/>
          <w:sz w:val="24"/>
          <w:szCs w:val="24"/>
          <w:lang w:eastAsia="en-US"/>
        </w:rPr>
        <w:t>pkt 24 orzeczenia</w:t>
      </w:r>
      <w:r w:rsidR="00A77D79" w:rsidRPr="008562D5">
        <w:rPr>
          <w:rFonts w:asciiTheme="minorHAnsi" w:hAnsiTheme="minorHAnsi" w:cstheme="minorHAnsi"/>
          <w:color w:val="auto"/>
          <w:sz w:val="24"/>
          <w:szCs w:val="24"/>
          <w:lang w:eastAsia="en-US"/>
        </w:rPr>
        <w:t xml:space="preserve"> </w:t>
      </w:r>
      <w:r w:rsidR="00491D19" w:rsidRPr="008562D5">
        <w:rPr>
          <w:rFonts w:asciiTheme="minorHAnsi" w:hAnsiTheme="minorHAnsi" w:cstheme="minorHAnsi"/>
          <w:color w:val="auto"/>
          <w:sz w:val="24"/>
          <w:szCs w:val="24"/>
          <w:lang w:eastAsia="en-US"/>
        </w:rPr>
        <w:t>Trybunał odniósł się wprawdzie do art. 16 ust.</w:t>
      </w:r>
      <w:r w:rsidR="000B1D7A">
        <w:rPr>
          <w:rFonts w:asciiTheme="minorHAnsi" w:hAnsiTheme="minorHAnsi" w:cstheme="minorHAnsi"/>
          <w:color w:val="auto"/>
          <w:sz w:val="24"/>
          <w:szCs w:val="24"/>
          <w:lang w:eastAsia="en-US"/>
        </w:rPr>
        <w:t xml:space="preserve"> </w:t>
      </w:r>
      <w:r w:rsidR="00491D19" w:rsidRPr="008562D5">
        <w:rPr>
          <w:rFonts w:asciiTheme="minorHAnsi" w:hAnsiTheme="minorHAnsi" w:cstheme="minorHAnsi"/>
          <w:color w:val="auto"/>
          <w:sz w:val="24"/>
          <w:szCs w:val="24"/>
          <w:lang w:eastAsia="en-US"/>
        </w:rPr>
        <w:t xml:space="preserve">1 dyrektywy 2004/38/WE ale wyjaśnił, że </w:t>
      </w:r>
      <w:r w:rsidR="00491D19" w:rsidRPr="008562D5">
        <w:rPr>
          <w:rFonts w:asciiTheme="minorHAnsi" w:eastAsia="Times New Roman" w:hAnsiTheme="minorHAnsi" w:cstheme="minorHAnsi"/>
          <w:sz w:val="24"/>
          <w:szCs w:val="24"/>
        </w:rPr>
        <w:t>jak wynika z motywu 17 dyrektywy 2004/38, prawo stałego pobytu stanowi kluczowy element promowania spójności społecznej i zostało przewidziane przez tę dyrektywę w celu wzmocnienia poczucia obywatelstwa Unii, tak że prawodawca Unii uzależnił uzyskanie prawa stałego pobytu na podstawie art. 16 ust. 1 dyrektywy 2004/38 od integracji obywatela Unii w przyjmujący</w:t>
      </w:r>
      <w:r w:rsidR="0012319A">
        <w:rPr>
          <w:rFonts w:asciiTheme="minorHAnsi" w:eastAsia="Times New Roman" w:hAnsiTheme="minorHAnsi" w:cstheme="minorHAnsi"/>
          <w:sz w:val="24"/>
          <w:szCs w:val="24"/>
        </w:rPr>
        <w:t xml:space="preserve">m państwie członkowskim. Po trzecie, </w:t>
      </w:r>
      <w:r w:rsidR="00491D19" w:rsidRPr="008562D5">
        <w:rPr>
          <w:rFonts w:asciiTheme="minorHAnsi" w:eastAsia="Times New Roman" w:hAnsiTheme="minorHAnsi" w:cstheme="minorHAnsi"/>
          <w:sz w:val="24"/>
          <w:szCs w:val="24"/>
        </w:rPr>
        <w:t xml:space="preserve">w pkt 71 orzeczenia w </w:t>
      </w:r>
      <w:r w:rsidR="00491D19" w:rsidRPr="008562D5">
        <w:rPr>
          <w:rFonts w:asciiTheme="minorHAnsi" w:hAnsiTheme="minorHAnsi" w:cstheme="minorHAnsi"/>
          <w:sz w:val="24"/>
          <w:szCs w:val="24"/>
        </w:rPr>
        <w:t>sprawach</w:t>
      </w:r>
      <w:r w:rsidR="00491D19" w:rsidRPr="008562D5">
        <w:rPr>
          <w:rFonts w:asciiTheme="minorHAnsi" w:hAnsiTheme="minorHAnsi" w:cstheme="minorHAnsi"/>
          <w:bCs/>
          <w:sz w:val="24"/>
          <w:szCs w:val="24"/>
        </w:rPr>
        <w:t xml:space="preserve"> C-316/16 B i C-424/16 </w:t>
      </w:r>
      <w:r w:rsidR="00491D19" w:rsidRPr="008562D5">
        <w:rPr>
          <w:rFonts w:asciiTheme="minorHAnsi" w:hAnsiTheme="minorHAnsi" w:cstheme="minorHAnsi"/>
          <w:bCs/>
          <w:i/>
          <w:sz w:val="24"/>
          <w:szCs w:val="24"/>
        </w:rPr>
        <w:t>Franco Vomero</w:t>
      </w:r>
      <w:r w:rsidR="00491D19" w:rsidRPr="008562D5">
        <w:rPr>
          <w:rFonts w:asciiTheme="minorHAnsi" w:hAnsiTheme="minorHAnsi" w:cstheme="minorHAnsi"/>
          <w:bCs/>
          <w:sz w:val="24"/>
          <w:szCs w:val="24"/>
        </w:rPr>
        <w:t xml:space="preserve"> Trybunał wyjaśnił, że z</w:t>
      </w:r>
      <w:r w:rsidR="00491D19" w:rsidRPr="008562D5">
        <w:rPr>
          <w:rFonts w:asciiTheme="minorHAnsi" w:eastAsia="Times New Roman" w:hAnsiTheme="minorHAnsi" w:cstheme="minorHAnsi"/>
          <w:sz w:val="24"/>
          <w:szCs w:val="24"/>
        </w:rPr>
        <w:t xml:space="preserve">właszcza </w:t>
      </w:r>
      <w:r w:rsidR="006D66B6" w:rsidRPr="008562D5">
        <w:rPr>
          <w:rFonts w:asciiTheme="minorHAnsi" w:eastAsia="Times New Roman" w:hAnsiTheme="minorHAnsi" w:cstheme="minorHAnsi"/>
          <w:sz w:val="24"/>
          <w:szCs w:val="24"/>
        </w:rPr>
        <w:t xml:space="preserve">w przypadku obywatela Unii (…) </w:t>
      </w:r>
      <w:r w:rsidR="00491D19" w:rsidRPr="008562D5">
        <w:rPr>
          <w:rFonts w:asciiTheme="minorHAnsi" w:eastAsia="Times New Roman" w:hAnsiTheme="minorHAnsi" w:cstheme="minorHAnsi"/>
          <w:sz w:val="24"/>
          <w:szCs w:val="24"/>
        </w:rPr>
        <w:t>nie można uznać, że okoliczność, iż został on umieszczony w zakładzie karnym przez organy wspomnianego państwa, zrywa automatycznie więzi integracyjne, jakie zadzierzgnął on</w:t>
      </w:r>
      <w:r w:rsidR="006A15FB">
        <w:rPr>
          <w:rFonts w:asciiTheme="minorHAnsi" w:eastAsia="Times New Roman" w:hAnsiTheme="minorHAnsi" w:cstheme="minorHAnsi"/>
          <w:sz w:val="24"/>
          <w:szCs w:val="24"/>
        </w:rPr>
        <w:t> </w:t>
      </w:r>
      <w:r w:rsidR="00491D19" w:rsidRPr="008562D5">
        <w:rPr>
          <w:rFonts w:asciiTheme="minorHAnsi" w:eastAsia="Times New Roman" w:hAnsiTheme="minorHAnsi" w:cstheme="minorHAnsi"/>
          <w:sz w:val="24"/>
          <w:szCs w:val="24"/>
        </w:rPr>
        <w:t>w </w:t>
      </w:r>
      <w:r w:rsidR="006D66B6" w:rsidRPr="008562D5">
        <w:rPr>
          <w:rFonts w:asciiTheme="minorHAnsi" w:eastAsia="Times New Roman" w:hAnsiTheme="minorHAnsi" w:cstheme="minorHAnsi"/>
          <w:sz w:val="24"/>
          <w:szCs w:val="24"/>
        </w:rPr>
        <w:t xml:space="preserve">przyjmującym </w:t>
      </w:r>
      <w:r w:rsidR="00491D19" w:rsidRPr="008562D5">
        <w:rPr>
          <w:rFonts w:asciiTheme="minorHAnsi" w:eastAsia="Times New Roman" w:hAnsiTheme="minorHAnsi" w:cstheme="minorHAnsi"/>
          <w:sz w:val="24"/>
          <w:szCs w:val="24"/>
        </w:rPr>
        <w:t>państwie</w:t>
      </w:r>
      <w:r w:rsidR="006D66B6" w:rsidRPr="008562D5">
        <w:rPr>
          <w:rFonts w:asciiTheme="minorHAnsi" w:eastAsia="Times New Roman" w:hAnsiTheme="minorHAnsi" w:cstheme="minorHAnsi"/>
          <w:sz w:val="24"/>
          <w:szCs w:val="24"/>
        </w:rPr>
        <w:t xml:space="preserve"> członkowskim. </w:t>
      </w:r>
    </w:p>
    <w:p w14:paraId="02589AFC" w14:textId="331C3DFC" w:rsidR="00767A27" w:rsidRPr="00366BF0" w:rsidRDefault="00952444" w:rsidP="007522A4">
      <w:pPr>
        <w:pStyle w:val="Akapitzlist"/>
        <w:spacing w:after="120" w:line="276" w:lineRule="auto"/>
        <w:ind w:left="215"/>
        <w:contextualSpacing w:val="0"/>
        <w:jc w:val="both"/>
        <w:rPr>
          <w:rFonts w:asciiTheme="minorHAnsi" w:eastAsia="Times New Roman" w:hAnsiTheme="minorHAnsi" w:cstheme="minorHAnsi"/>
          <w:i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  <w:lang w:eastAsia="en-US"/>
        </w:rPr>
        <w:t>Mając na uwadze powyższe w mojej ocenie</w:t>
      </w:r>
      <w:r w:rsidR="00366BF0" w:rsidRPr="00366BF0">
        <w:rPr>
          <w:rFonts w:asciiTheme="minorHAnsi" w:hAnsiTheme="minorHAnsi" w:cstheme="minorHAnsi"/>
          <w:color w:val="auto"/>
          <w:sz w:val="24"/>
          <w:szCs w:val="24"/>
          <w:lang w:eastAsia="en-US"/>
        </w:rPr>
        <w:t xml:space="preserve"> k</w:t>
      </w:r>
      <w:r w:rsidR="00767A27" w:rsidRPr="00366BF0">
        <w:rPr>
          <w:rFonts w:asciiTheme="minorHAnsi" w:hAnsiTheme="minorHAnsi" w:cstheme="minorHAnsi"/>
          <w:color w:val="auto"/>
          <w:sz w:val="24"/>
          <w:szCs w:val="24"/>
          <w:lang w:eastAsia="en-US"/>
        </w:rPr>
        <w:t>westia t</w:t>
      </w:r>
      <w:r w:rsidR="00366BF0" w:rsidRPr="00366BF0">
        <w:rPr>
          <w:rFonts w:asciiTheme="minorHAnsi" w:hAnsiTheme="minorHAnsi" w:cstheme="minorHAnsi"/>
          <w:color w:val="auto"/>
          <w:sz w:val="24"/>
          <w:szCs w:val="24"/>
          <w:lang w:eastAsia="en-US"/>
        </w:rPr>
        <w:t xml:space="preserve">ego, czy tezy wyroku odnoszące się do obywatela </w:t>
      </w:r>
      <w:r w:rsidRPr="00366BF0">
        <w:rPr>
          <w:rFonts w:asciiTheme="minorHAnsi" w:hAnsiTheme="minorHAnsi" w:cstheme="minorHAnsi"/>
          <w:color w:val="auto"/>
          <w:sz w:val="24"/>
          <w:szCs w:val="24"/>
          <w:lang w:eastAsia="en-US"/>
        </w:rPr>
        <w:t>państwa</w:t>
      </w:r>
      <w:r w:rsidR="00366BF0" w:rsidRPr="00366BF0">
        <w:rPr>
          <w:rFonts w:asciiTheme="minorHAnsi" w:hAnsiTheme="minorHAnsi" w:cstheme="minorHAnsi"/>
          <w:color w:val="auto"/>
          <w:sz w:val="24"/>
          <w:szCs w:val="24"/>
          <w:lang w:eastAsia="en-US"/>
        </w:rPr>
        <w:t xml:space="preserve"> trzeciego można </w:t>
      </w:r>
      <w:r w:rsidR="00BE1AEA">
        <w:rPr>
          <w:rFonts w:asciiTheme="minorHAnsi" w:hAnsiTheme="minorHAnsi" w:cstheme="minorHAnsi"/>
          <w:color w:val="auto"/>
          <w:sz w:val="24"/>
          <w:szCs w:val="24"/>
          <w:lang w:eastAsia="en-US"/>
        </w:rPr>
        <w:t>analogiczny</w:t>
      </w:r>
      <w:r w:rsidR="00366BF0" w:rsidRPr="00366BF0">
        <w:rPr>
          <w:rFonts w:asciiTheme="minorHAnsi" w:hAnsiTheme="minorHAnsi" w:cstheme="minorHAnsi"/>
          <w:color w:val="auto"/>
          <w:sz w:val="24"/>
          <w:szCs w:val="24"/>
          <w:lang w:eastAsia="en-US"/>
        </w:rPr>
        <w:t xml:space="preserve"> sposób zastosować</w:t>
      </w:r>
      <w:r w:rsidR="00BE1AEA">
        <w:rPr>
          <w:rFonts w:asciiTheme="minorHAnsi" w:hAnsiTheme="minorHAnsi" w:cstheme="minorHAnsi"/>
          <w:color w:val="auto"/>
          <w:sz w:val="24"/>
          <w:szCs w:val="24"/>
          <w:lang w:eastAsia="en-US"/>
        </w:rPr>
        <w:t xml:space="preserve"> również do obywatela UE </w:t>
      </w:r>
      <w:r w:rsidR="00767A27" w:rsidRPr="00366BF0">
        <w:rPr>
          <w:rFonts w:asciiTheme="minorHAnsi" w:hAnsiTheme="minorHAnsi" w:cstheme="minorHAnsi"/>
          <w:color w:val="auto"/>
          <w:sz w:val="24"/>
          <w:szCs w:val="24"/>
          <w:lang w:eastAsia="en-US"/>
        </w:rPr>
        <w:t xml:space="preserve">wymaga </w:t>
      </w:r>
      <w:r w:rsidR="00150FBE">
        <w:rPr>
          <w:rFonts w:asciiTheme="minorHAnsi" w:hAnsiTheme="minorHAnsi" w:cstheme="minorHAnsi"/>
          <w:color w:val="auto"/>
          <w:sz w:val="24"/>
          <w:szCs w:val="24"/>
          <w:lang w:eastAsia="en-US"/>
        </w:rPr>
        <w:t xml:space="preserve">przeprowadzenia </w:t>
      </w:r>
      <w:r w:rsidR="00767A27" w:rsidRPr="00366BF0">
        <w:rPr>
          <w:rFonts w:asciiTheme="minorHAnsi" w:hAnsiTheme="minorHAnsi" w:cstheme="minorHAnsi"/>
          <w:color w:val="auto"/>
          <w:sz w:val="24"/>
          <w:szCs w:val="24"/>
          <w:lang w:eastAsia="en-US"/>
        </w:rPr>
        <w:t>ponownej</w:t>
      </w:r>
      <w:r w:rsidR="00150FBE">
        <w:rPr>
          <w:rFonts w:asciiTheme="minorHAnsi" w:hAnsiTheme="minorHAnsi" w:cstheme="minorHAnsi"/>
          <w:color w:val="auto"/>
          <w:sz w:val="24"/>
          <w:szCs w:val="24"/>
          <w:lang w:eastAsia="en-US"/>
        </w:rPr>
        <w:t>, gruntownej</w:t>
      </w:r>
      <w:r w:rsidR="00767A27" w:rsidRPr="00366BF0">
        <w:rPr>
          <w:rFonts w:asciiTheme="minorHAnsi" w:hAnsiTheme="minorHAnsi" w:cstheme="minorHAnsi"/>
          <w:color w:val="auto"/>
          <w:sz w:val="24"/>
          <w:szCs w:val="24"/>
          <w:lang w:eastAsia="en-US"/>
        </w:rPr>
        <w:t xml:space="preserve"> analizy</w:t>
      </w:r>
      <w:r w:rsidR="00366BF0" w:rsidRPr="00366BF0">
        <w:rPr>
          <w:rFonts w:asciiTheme="minorHAnsi" w:hAnsiTheme="minorHAnsi" w:cstheme="minorHAnsi"/>
          <w:color w:val="auto"/>
          <w:sz w:val="24"/>
          <w:szCs w:val="24"/>
          <w:lang w:eastAsia="en-US"/>
        </w:rPr>
        <w:t xml:space="preserve">. </w:t>
      </w:r>
    </w:p>
    <w:p w14:paraId="1C3E5EC3" w14:textId="164FB6BC" w:rsidR="00767A27" w:rsidRDefault="00767A27" w:rsidP="00B52D40">
      <w:pPr>
        <w:pStyle w:val="Akapitzlist"/>
        <w:spacing w:after="120" w:line="276" w:lineRule="auto"/>
        <w:ind w:left="215"/>
        <w:contextualSpacing w:val="0"/>
        <w:jc w:val="both"/>
        <w:rPr>
          <w:rFonts w:asciiTheme="minorHAnsi" w:hAnsiTheme="minorHAnsi" w:cstheme="minorHAnsi"/>
          <w:i/>
          <w:color w:val="auto"/>
          <w:sz w:val="24"/>
          <w:szCs w:val="24"/>
          <w:lang w:eastAsia="en-US"/>
        </w:rPr>
      </w:pPr>
      <w:r w:rsidRPr="00366BF0">
        <w:rPr>
          <w:rFonts w:asciiTheme="minorHAnsi" w:eastAsia="Times New Roman" w:hAnsiTheme="minorHAnsi" w:cstheme="minorHAnsi"/>
          <w:sz w:val="24"/>
          <w:szCs w:val="24"/>
        </w:rPr>
        <w:t>Uwaga ta odnosi się także do</w:t>
      </w:r>
      <w:r w:rsidRPr="008562D5">
        <w:rPr>
          <w:rFonts w:asciiTheme="minorHAnsi" w:eastAsia="Times New Roman" w:hAnsiTheme="minorHAnsi" w:cstheme="minorHAnsi"/>
          <w:sz w:val="24"/>
          <w:szCs w:val="24"/>
        </w:rPr>
        <w:t xml:space="preserve"> projektowanego art. 68 ust.2</w:t>
      </w:r>
      <w:r w:rsidR="00C55DFF">
        <w:rPr>
          <w:rFonts w:asciiTheme="minorHAnsi" w:eastAsia="Times New Roman" w:hAnsiTheme="minorHAnsi" w:cstheme="minorHAnsi"/>
          <w:sz w:val="24"/>
          <w:szCs w:val="24"/>
        </w:rPr>
        <w:t xml:space="preserve"> ustawy</w:t>
      </w:r>
      <w:r w:rsidRPr="008562D5">
        <w:rPr>
          <w:rFonts w:asciiTheme="minorHAnsi" w:eastAsia="Times New Roman" w:hAnsiTheme="minorHAnsi" w:cstheme="minorHAnsi"/>
          <w:sz w:val="24"/>
          <w:szCs w:val="24"/>
        </w:rPr>
        <w:t xml:space="preserve">, w którym przewidziano, że pobyt na terytorium </w:t>
      </w:r>
      <w:r w:rsidRPr="008562D5">
        <w:rPr>
          <w:rFonts w:asciiTheme="minorHAnsi" w:hAnsiTheme="minorHAnsi" w:cstheme="minorHAnsi"/>
          <w:sz w:val="24"/>
          <w:szCs w:val="24"/>
        </w:rPr>
        <w:t>Rzeczypospolitej Polskiej, uprawniający do szczególnej ochrony przed wydaleniem, przerywa odbywanie kary pozbawie</w:t>
      </w:r>
      <w:r>
        <w:rPr>
          <w:rFonts w:asciiTheme="minorHAnsi" w:hAnsiTheme="minorHAnsi" w:cstheme="minorHAnsi"/>
          <w:sz w:val="24"/>
          <w:szCs w:val="24"/>
        </w:rPr>
        <w:t xml:space="preserve">nia wolności przez obywatela UE. </w:t>
      </w:r>
      <w:r w:rsidRPr="008562D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361C05A" w14:textId="27EB4DED" w:rsidR="00D430C1" w:rsidRDefault="007522A4" w:rsidP="000751FB">
      <w:pPr>
        <w:pStyle w:val="Akapitzlist"/>
        <w:numPr>
          <w:ilvl w:val="0"/>
          <w:numId w:val="3"/>
        </w:numPr>
        <w:spacing w:after="120"/>
        <w:ind w:left="215" w:hanging="357"/>
        <w:contextualSpacing w:val="0"/>
        <w:jc w:val="both"/>
        <w:rPr>
          <w:rFonts w:asciiTheme="minorHAnsi" w:eastAsia="Times New Roman" w:hAnsiTheme="minorHAnsi" w:cstheme="minorHAnsi"/>
          <w:color w:val="auto"/>
          <w:sz w:val="24"/>
          <w:szCs w:val="24"/>
        </w:rPr>
      </w:pPr>
      <w:r>
        <w:rPr>
          <w:rFonts w:asciiTheme="minorHAnsi" w:eastAsia="Times New Roman" w:hAnsiTheme="minorHAnsi" w:cstheme="minorHAnsi"/>
          <w:color w:val="auto"/>
          <w:sz w:val="24"/>
          <w:szCs w:val="24"/>
        </w:rPr>
        <w:t>Zgodnie z uzasadnieniem</w:t>
      </w:r>
      <w:r w:rsidR="00543D6C" w:rsidRPr="0005128E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 projektu ustawy, projekt zawiera również przepisy w zakresie uzupełnienia wdrożenia art. 11 dyrektywy </w:t>
      </w:r>
      <w:r w:rsidR="00D430C1" w:rsidRPr="0005128E">
        <w:rPr>
          <w:rFonts w:asciiTheme="minorHAnsi" w:eastAsia="Times New Roman" w:hAnsiTheme="minorHAnsi" w:cstheme="minorHAnsi"/>
          <w:color w:val="auto"/>
          <w:sz w:val="24"/>
          <w:szCs w:val="24"/>
        </w:rPr>
        <w:t>Parlamentu Europejskiego i Rady 2011/36/UE z</w:t>
      </w:r>
      <w:r w:rsidR="000751FB">
        <w:rPr>
          <w:rFonts w:asciiTheme="minorHAnsi" w:eastAsia="Times New Roman" w:hAnsiTheme="minorHAnsi" w:cstheme="minorHAnsi"/>
          <w:color w:val="auto"/>
          <w:sz w:val="24"/>
          <w:szCs w:val="24"/>
        </w:rPr>
        <w:t> </w:t>
      </w:r>
      <w:r w:rsidR="00D430C1" w:rsidRPr="0005128E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dnia 5 kwietnia 2011 </w:t>
      </w:r>
      <w:r w:rsidR="000751FB">
        <w:rPr>
          <w:rFonts w:asciiTheme="minorHAnsi" w:eastAsia="Times New Roman" w:hAnsiTheme="minorHAnsi" w:cstheme="minorHAnsi"/>
          <w:color w:val="auto"/>
          <w:sz w:val="24"/>
          <w:szCs w:val="24"/>
        </w:rPr>
        <w:t>r. w sprawie zapobiegania handlowi</w:t>
      </w:r>
      <w:r w:rsidR="00D430C1" w:rsidRPr="0005128E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 ludźmi i zwalczania teg</w:t>
      </w:r>
      <w:r w:rsidR="00AB38D9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o procederu oraz ochrony ofiar. </w:t>
      </w:r>
      <w:r w:rsidR="00D10EA2">
        <w:rPr>
          <w:rFonts w:asciiTheme="minorHAnsi" w:eastAsia="Times New Roman" w:hAnsiTheme="minorHAnsi" w:cstheme="minorHAnsi"/>
          <w:color w:val="auto"/>
          <w:sz w:val="24"/>
          <w:szCs w:val="24"/>
        </w:rPr>
        <w:t>Uzasadnienie wskazuje, że w</w:t>
      </w:r>
      <w:r w:rsidR="00A86DD6" w:rsidRPr="0005128E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 art. 41e </w:t>
      </w:r>
      <w:r w:rsidR="00D86B9A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ustawy o wjeździe </w:t>
      </w:r>
      <w:r w:rsidR="00DB2513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(art. 1 pkt 38 projektu) </w:t>
      </w:r>
      <w:r w:rsidR="00A86DD6" w:rsidRPr="0005128E">
        <w:rPr>
          <w:rFonts w:asciiTheme="minorHAnsi" w:eastAsia="Times New Roman" w:hAnsiTheme="minorHAnsi" w:cstheme="minorHAnsi"/>
          <w:color w:val="auto"/>
          <w:sz w:val="24"/>
          <w:szCs w:val="24"/>
        </w:rPr>
        <w:t>przewidziano upoważnienie dla ministra właściwego do spraw wewnętrznych do</w:t>
      </w:r>
      <w:r w:rsidR="000751FB">
        <w:rPr>
          <w:rFonts w:asciiTheme="minorHAnsi" w:eastAsia="Times New Roman" w:hAnsiTheme="minorHAnsi" w:cstheme="minorHAnsi"/>
          <w:color w:val="auto"/>
          <w:sz w:val="24"/>
          <w:szCs w:val="24"/>
        </w:rPr>
        <w:t> </w:t>
      </w:r>
      <w:r w:rsidR="00A86DD6" w:rsidRPr="0005128E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określenia, w drodze rozporządzenia, wzoru zaświadczenia potwierdzającego istnienie domniemania, że obywatel UE lub członek rodziny niebędący obywatelem UE jest ofiarą handlu ludźmi w rozumieniu art. 115 § 22 Kodeksu karnego. </w:t>
      </w:r>
      <w:r w:rsidR="000751FB">
        <w:rPr>
          <w:rFonts w:asciiTheme="minorHAnsi" w:eastAsia="Times New Roman" w:hAnsiTheme="minorHAnsi" w:cstheme="minorHAnsi"/>
          <w:color w:val="auto"/>
          <w:sz w:val="24"/>
          <w:szCs w:val="24"/>
        </w:rPr>
        <w:t>Według</w:t>
      </w:r>
      <w:r w:rsidR="002629CC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 projektodawcy</w:t>
      </w:r>
      <w:r w:rsidR="0005128E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 p</w:t>
      </w:r>
      <w:r w:rsidR="00A86DD6" w:rsidRPr="0005128E">
        <w:rPr>
          <w:rFonts w:asciiTheme="minorHAnsi" w:eastAsia="Times New Roman" w:hAnsiTheme="minorHAnsi" w:cstheme="minorHAnsi"/>
          <w:color w:val="auto"/>
          <w:sz w:val="24"/>
          <w:szCs w:val="24"/>
        </w:rPr>
        <w:t>roponowane rozwiązanie ma umożliwić skorzystanie z prawa do</w:t>
      </w:r>
      <w:r w:rsidR="000751FB">
        <w:rPr>
          <w:rFonts w:asciiTheme="minorHAnsi" w:eastAsia="Times New Roman" w:hAnsiTheme="minorHAnsi" w:cstheme="minorHAnsi"/>
          <w:color w:val="auto"/>
          <w:sz w:val="24"/>
          <w:szCs w:val="24"/>
        </w:rPr>
        <w:t> </w:t>
      </w:r>
      <w:r w:rsidR="00A86DD6" w:rsidRPr="0005128E">
        <w:rPr>
          <w:rFonts w:asciiTheme="minorHAnsi" w:eastAsia="Times New Roman" w:hAnsiTheme="minorHAnsi" w:cstheme="minorHAnsi"/>
          <w:color w:val="auto"/>
          <w:sz w:val="24"/>
          <w:szCs w:val="24"/>
        </w:rPr>
        <w:t>świadczeń z pomocy społecznej w formie interwencji kryzysowej, schronienia, posiłku, niezbędnego ubrania oraz zasiłku celowego również obywatelom UE oraz członkom ro</w:t>
      </w:r>
      <w:r w:rsidR="0005128E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dziny niebędącym obywatelami UE i </w:t>
      </w:r>
      <w:r w:rsidR="0005128E" w:rsidRPr="0005128E">
        <w:rPr>
          <w:rFonts w:asciiTheme="minorHAnsi" w:eastAsia="Times New Roman" w:hAnsiTheme="minorHAnsi" w:cstheme="minorHAnsi"/>
          <w:color w:val="auto"/>
          <w:sz w:val="24"/>
          <w:szCs w:val="24"/>
        </w:rPr>
        <w:t>jest zgodne z art. 11 dyrektywy</w:t>
      </w:r>
      <w:r w:rsidR="0005128E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 2011/36. </w:t>
      </w:r>
    </w:p>
    <w:p w14:paraId="4456C7CA" w14:textId="58C4B703" w:rsidR="007604E4" w:rsidRPr="007604E4" w:rsidRDefault="00314083" w:rsidP="006A05FD">
      <w:pPr>
        <w:pStyle w:val="Akapitzlist"/>
        <w:ind w:left="218"/>
        <w:jc w:val="both"/>
        <w:rPr>
          <w:rFonts w:asciiTheme="minorHAnsi" w:eastAsia="Times New Roman" w:hAnsiTheme="minorHAnsi" w:cstheme="minorHAnsi"/>
          <w:color w:val="auto"/>
          <w:sz w:val="24"/>
          <w:szCs w:val="24"/>
        </w:rPr>
      </w:pPr>
      <w:r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Zwracam jednak uwagę </w:t>
      </w:r>
      <w:r w:rsidR="001D3474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na to, że </w:t>
      </w:r>
      <w:r w:rsidR="007604E4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jeśli </w:t>
      </w:r>
      <w:r w:rsidR="001D3474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wydanie </w:t>
      </w:r>
      <w:r w:rsidR="007D005C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po raz pierwszy </w:t>
      </w:r>
      <w:r w:rsidR="007604E4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wspomnianego </w:t>
      </w:r>
      <w:r w:rsidR="001D3474">
        <w:rPr>
          <w:rFonts w:asciiTheme="minorHAnsi" w:eastAsia="Times New Roman" w:hAnsiTheme="minorHAnsi" w:cstheme="minorHAnsi"/>
          <w:color w:val="auto"/>
          <w:sz w:val="24"/>
          <w:szCs w:val="24"/>
        </w:rPr>
        <w:t>zaświadczenia,</w:t>
      </w:r>
      <w:r w:rsidR="007604E4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 od którego uzależnione jest udzielenie pomocy, o której mowa w art. 5a </w:t>
      </w:r>
      <w:r w:rsidR="007604E4">
        <w:rPr>
          <w:rFonts w:asciiTheme="minorHAnsi" w:eastAsia="Times New Roman" w:hAnsiTheme="minorHAnsi" w:cstheme="minorHAnsi"/>
          <w:color w:val="auto"/>
          <w:sz w:val="24"/>
          <w:szCs w:val="24"/>
        </w:rPr>
        <w:lastRenderedPageBreak/>
        <w:t xml:space="preserve">ustawy o pomocy społecznej (art. 2 pkt 1 projektu ustawy), nie jest obwarowane warunkami (projektowany art. 41a, art. 42a ust. 1-2 ustawy o wjeździe), to kolejne zaświadczenie </w:t>
      </w:r>
      <w:r w:rsidR="00CD3B61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(pierwsze wydawane jest na okres 3-4 miesięcy, w zależności od przypadku określonego w projektowanym art. 41b ust. 2 ustawy o wjeździe) </w:t>
      </w:r>
      <w:r w:rsidR="007604E4">
        <w:rPr>
          <w:rFonts w:asciiTheme="minorHAnsi" w:eastAsia="Times New Roman" w:hAnsiTheme="minorHAnsi" w:cstheme="minorHAnsi"/>
          <w:color w:val="auto"/>
          <w:sz w:val="24"/>
          <w:szCs w:val="24"/>
        </w:rPr>
        <w:t>może być wydane</w:t>
      </w:r>
      <w:r w:rsidR="00CD3B61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, jak stanowi projektowany art. 41b ust. 3 ustawy o wjeździe, </w:t>
      </w:r>
      <w:r w:rsidR="007604E4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wyłącznie </w:t>
      </w:r>
      <w:r w:rsidR="007604E4" w:rsidRPr="007604E4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przypadku gdy </w:t>
      </w:r>
      <w:r w:rsidR="007604E4">
        <w:rPr>
          <w:rFonts w:asciiTheme="minorHAnsi" w:eastAsia="Times New Roman" w:hAnsiTheme="minorHAnsi" w:cstheme="minorHAnsi"/>
          <w:color w:val="auto"/>
          <w:sz w:val="24"/>
          <w:szCs w:val="24"/>
        </w:rPr>
        <w:t>dana osoba:</w:t>
      </w:r>
    </w:p>
    <w:p w14:paraId="503B613B" w14:textId="067C1036" w:rsidR="007604E4" w:rsidRPr="007604E4" w:rsidRDefault="007604E4" w:rsidP="006A05FD">
      <w:pPr>
        <w:pStyle w:val="Akapitzlist"/>
        <w:ind w:left="218"/>
        <w:jc w:val="both"/>
        <w:rPr>
          <w:rFonts w:asciiTheme="minorHAnsi" w:eastAsia="Times New Roman" w:hAnsiTheme="minorHAnsi" w:cstheme="minorHAnsi"/>
          <w:bCs/>
          <w:color w:val="auto"/>
          <w:sz w:val="24"/>
          <w:szCs w:val="24"/>
        </w:rPr>
      </w:pPr>
      <w:r w:rsidRPr="007604E4">
        <w:rPr>
          <w:rFonts w:asciiTheme="minorHAnsi" w:eastAsia="Times New Roman" w:hAnsiTheme="minorHAnsi" w:cstheme="minorHAnsi"/>
          <w:bCs/>
          <w:color w:val="auto"/>
          <w:sz w:val="24"/>
          <w:szCs w:val="24"/>
        </w:rPr>
        <w:t>1)</w:t>
      </w:r>
      <w:r w:rsidRPr="007604E4">
        <w:rPr>
          <w:rFonts w:asciiTheme="minorHAnsi" w:eastAsia="Times New Roman" w:hAnsiTheme="minorHAnsi" w:cstheme="minorHAnsi"/>
          <w:bCs/>
          <w:color w:val="auto"/>
          <w:sz w:val="24"/>
          <w:szCs w:val="24"/>
        </w:rPr>
        <w:tab/>
        <w:t>przebywa na terytorium Rzeczypospolitej Polskiej;</w:t>
      </w:r>
    </w:p>
    <w:p w14:paraId="110DEDE7" w14:textId="46A8026D" w:rsidR="007604E4" w:rsidRPr="007604E4" w:rsidRDefault="007604E4" w:rsidP="006A05FD">
      <w:pPr>
        <w:pStyle w:val="Akapitzlist"/>
        <w:ind w:left="218"/>
        <w:jc w:val="both"/>
        <w:rPr>
          <w:rFonts w:asciiTheme="minorHAnsi" w:eastAsia="Times New Roman" w:hAnsiTheme="minorHAnsi" w:cstheme="minorHAnsi"/>
          <w:bCs/>
          <w:color w:val="auto"/>
          <w:sz w:val="24"/>
          <w:szCs w:val="24"/>
        </w:rPr>
      </w:pPr>
      <w:r w:rsidRPr="007604E4">
        <w:rPr>
          <w:rFonts w:asciiTheme="minorHAnsi" w:eastAsia="Times New Roman" w:hAnsiTheme="minorHAnsi" w:cstheme="minorHAnsi"/>
          <w:bCs/>
          <w:color w:val="auto"/>
          <w:sz w:val="24"/>
          <w:szCs w:val="24"/>
        </w:rPr>
        <w:t xml:space="preserve">2) </w:t>
      </w:r>
      <w:r w:rsidRPr="007604E4">
        <w:rPr>
          <w:rFonts w:asciiTheme="minorHAnsi" w:eastAsia="Times New Roman" w:hAnsiTheme="minorHAnsi" w:cstheme="minorHAnsi"/>
          <w:bCs/>
          <w:color w:val="auto"/>
          <w:sz w:val="24"/>
          <w:szCs w:val="24"/>
        </w:rPr>
        <w:tab/>
      </w:r>
      <w:r>
        <w:rPr>
          <w:rFonts w:asciiTheme="minorHAnsi" w:eastAsia="Times New Roman" w:hAnsiTheme="minorHAnsi" w:cstheme="minorHAnsi"/>
          <w:bCs/>
          <w:color w:val="auto"/>
          <w:sz w:val="24"/>
          <w:szCs w:val="24"/>
        </w:rPr>
        <w:t xml:space="preserve">podjęła </w:t>
      </w:r>
      <w:r w:rsidRPr="007604E4">
        <w:rPr>
          <w:rFonts w:asciiTheme="minorHAnsi" w:eastAsia="Times New Roman" w:hAnsiTheme="minorHAnsi" w:cstheme="minorHAnsi"/>
          <w:bCs/>
          <w:color w:val="auto"/>
          <w:sz w:val="24"/>
          <w:szCs w:val="24"/>
        </w:rPr>
        <w:t>współpracę z organem właściwym do prowadzenia postępowania w sprawie o przestępstwo, o którym mowa w art. 189a § 1 Kodeksu karnego, a w przypadku małoletniego cudzoziemca – otrzymał</w:t>
      </w:r>
      <w:r w:rsidR="004D5DE4">
        <w:rPr>
          <w:rFonts w:asciiTheme="minorHAnsi" w:eastAsia="Times New Roman" w:hAnsiTheme="minorHAnsi" w:cstheme="minorHAnsi"/>
          <w:bCs/>
          <w:color w:val="auto"/>
          <w:sz w:val="24"/>
          <w:szCs w:val="24"/>
        </w:rPr>
        <w:t>a</w:t>
      </w:r>
      <w:r w:rsidRPr="007604E4">
        <w:rPr>
          <w:rFonts w:asciiTheme="minorHAnsi" w:eastAsia="Times New Roman" w:hAnsiTheme="minorHAnsi" w:cstheme="minorHAnsi"/>
          <w:bCs/>
          <w:color w:val="auto"/>
          <w:sz w:val="24"/>
          <w:szCs w:val="24"/>
        </w:rPr>
        <w:t xml:space="preserve"> status pokrzywdzonego w postępowaniu w sprawie o przestępstwo, o którym mowa w art. 189a § 1 Kodeksu karnego;</w:t>
      </w:r>
    </w:p>
    <w:p w14:paraId="5E6C65BF" w14:textId="67C9488D" w:rsidR="007604E4" w:rsidRDefault="007604E4" w:rsidP="000751FB">
      <w:pPr>
        <w:pStyle w:val="Akapitzlist"/>
        <w:spacing w:after="120"/>
        <w:ind w:left="215"/>
        <w:contextualSpacing w:val="0"/>
        <w:jc w:val="both"/>
        <w:rPr>
          <w:rFonts w:asciiTheme="minorHAnsi" w:eastAsia="Times New Roman" w:hAnsiTheme="minorHAnsi" w:cstheme="minorHAnsi"/>
          <w:bCs/>
          <w:color w:val="auto"/>
          <w:sz w:val="24"/>
          <w:szCs w:val="24"/>
        </w:rPr>
      </w:pPr>
      <w:r w:rsidRPr="007604E4">
        <w:rPr>
          <w:rFonts w:asciiTheme="minorHAnsi" w:eastAsia="Times New Roman" w:hAnsiTheme="minorHAnsi" w:cstheme="minorHAnsi"/>
          <w:bCs/>
          <w:color w:val="auto"/>
          <w:sz w:val="24"/>
          <w:szCs w:val="24"/>
        </w:rPr>
        <w:t xml:space="preserve">3) </w:t>
      </w:r>
      <w:r w:rsidRPr="007604E4">
        <w:rPr>
          <w:rFonts w:asciiTheme="minorHAnsi" w:eastAsia="Times New Roman" w:hAnsiTheme="minorHAnsi" w:cstheme="minorHAnsi"/>
          <w:bCs/>
          <w:color w:val="auto"/>
          <w:sz w:val="24"/>
          <w:szCs w:val="24"/>
        </w:rPr>
        <w:tab/>
        <w:t>zerwał</w:t>
      </w:r>
      <w:r w:rsidR="004D5DE4">
        <w:rPr>
          <w:rFonts w:asciiTheme="minorHAnsi" w:eastAsia="Times New Roman" w:hAnsiTheme="minorHAnsi" w:cstheme="minorHAnsi"/>
          <w:bCs/>
          <w:color w:val="auto"/>
          <w:sz w:val="24"/>
          <w:szCs w:val="24"/>
        </w:rPr>
        <w:t>a</w:t>
      </w:r>
      <w:r w:rsidRPr="007604E4">
        <w:rPr>
          <w:rFonts w:asciiTheme="minorHAnsi" w:eastAsia="Times New Roman" w:hAnsiTheme="minorHAnsi" w:cstheme="minorHAnsi"/>
          <w:bCs/>
          <w:color w:val="auto"/>
          <w:sz w:val="24"/>
          <w:szCs w:val="24"/>
        </w:rPr>
        <w:t xml:space="preserve"> kontakty z osobami podejrzanymi o popełnienie przestępstwa, o którym mowa w art. 189a § 1 Kodeksu karnego.</w:t>
      </w:r>
    </w:p>
    <w:p w14:paraId="2CE64F19" w14:textId="36D1F8A9" w:rsidR="009A665D" w:rsidRDefault="006A05FD" w:rsidP="000751FB">
      <w:pPr>
        <w:pStyle w:val="Akapitzlist"/>
        <w:spacing w:after="120"/>
        <w:ind w:left="215"/>
        <w:contextualSpacing w:val="0"/>
        <w:jc w:val="both"/>
        <w:rPr>
          <w:rFonts w:asciiTheme="minorHAnsi" w:eastAsia="Times New Roman" w:hAnsiTheme="minorHAnsi" w:cstheme="minorHAnsi"/>
          <w:bCs/>
          <w:color w:val="auto"/>
          <w:sz w:val="24"/>
          <w:szCs w:val="24"/>
        </w:rPr>
      </w:pPr>
      <w:r>
        <w:rPr>
          <w:rFonts w:asciiTheme="minorHAnsi" w:eastAsia="Times New Roman" w:hAnsiTheme="minorHAnsi" w:cstheme="minorHAnsi"/>
          <w:bCs/>
          <w:color w:val="auto"/>
          <w:sz w:val="24"/>
          <w:szCs w:val="24"/>
        </w:rPr>
        <w:t>Tymczasem art. 11 dyrektyw</w:t>
      </w:r>
      <w:r w:rsidR="00851904">
        <w:rPr>
          <w:rFonts w:asciiTheme="minorHAnsi" w:eastAsia="Times New Roman" w:hAnsiTheme="minorHAnsi" w:cstheme="minorHAnsi"/>
          <w:bCs/>
          <w:color w:val="auto"/>
          <w:sz w:val="24"/>
          <w:szCs w:val="24"/>
        </w:rPr>
        <w:t>y 2011/3</w:t>
      </w:r>
      <w:r w:rsidR="008944BA">
        <w:rPr>
          <w:rFonts w:asciiTheme="minorHAnsi" w:eastAsia="Times New Roman" w:hAnsiTheme="minorHAnsi" w:cstheme="minorHAnsi"/>
          <w:bCs/>
          <w:color w:val="auto"/>
          <w:sz w:val="24"/>
          <w:szCs w:val="24"/>
        </w:rPr>
        <w:t>6 nie przewiduje udziela</w:t>
      </w:r>
      <w:r>
        <w:rPr>
          <w:rFonts w:asciiTheme="minorHAnsi" w:eastAsia="Times New Roman" w:hAnsiTheme="minorHAnsi" w:cstheme="minorHAnsi"/>
          <w:bCs/>
          <w:color w:val="auto"/>
          <w:sz w:val="24"/>
          <w:szCs w:val="24"/>
        </w:rPr>
        <w:t xml:space="preserve">nia pomocy i wsparcia ofierze w zależności od spełnienia przez nią określonych wymogów. Przeciwnie, </w:t>
      </w:r>
      <w:r w:rsidR="009A665D">
        <w:rPr>
          <w:rFonts w:asciiTheme="minorHAnsi" w:eastAsia="Times New Roman" w:hAnsiTheme="minorHAnsi" w:cstheme="minorHAnsi"/>
          <w:bCs/>
          <w:color w:val="auto"/>
          <w:sz w:val="24"/>
          <w:szCs w:val="24"/>
        </w:rPr>
        <w:t xml:space="preserve">z systematyki wspomnianego przepisu dyrektywy wynika, że </w:t>
      </w:r>
      <w:r w:rsidR="00DC09F2">
        <w:rPr>
          <w:rFonts w:asciiTheme="minorHAnsi" w:eastAsia="Times New Roman" w:hAnsiTheme="minorHAnsi" w:cstheme="minorHAnsi"/>
          <w:bCs/>
          <w:color w:val="auto"/>
          <w:sz w:val="24"/>
          <w:szCs w:val="24"/>
        </w:rPr>
        <w:t>wsparcie</w:t>
      </w:r>
      <w:r w:rsidR="00D8771D">
        <w:rPr>
          <w:rFonts w:asciiTheme="minorHAnsi" w:eastAsia="Times New Roman" w:hAnsiTheme="minorHAnsi" w:cstheme="minorHAnsi"/>
          <w:bCs/>
          <w:color w:val="auto"/>
          <w:sz w:val="24"/>
          <w:szCs w:val="24"/>
        </w:rPr>
        <w:t xml:space="preserve"> i pomoc dla ofiar handlu ludźmi ma</w:t>
      </w:r>
      <w:r w:rsidR="000751FB">
        <w:rPr>
          <w:rFonts w:asciiTheme="minorHAnsi" w:eastAsia="Times New Roman" w:hAnsiTheme="minorHAnsi" w:cstheme="minorHAnsi"/>
          <w:bCs/>
          <w:color w:val="auto"/>
          <w:sz w:val="24"/>
          <w:szCs w:val="24"/>
        </w:rPr>
        <w:t> </w:t>
      </w:r>
      <w:r w:rsidR="00D8771D">
        <w:rPr>
          <w:rFonts w:asciiTheme="minorHAnsi" w:eastAsia="Times New Roman" w:hAnsiTheme="minorHAnsi" w:cstheme="minorHAnsi"/>
          <w:bCs/>
          <w:color w:val="auto"/>
          <w:sz w:val="24"/>
          <w:szCs w:val="24"/>
        </w:rPr>
        <w:t>być zapewniane w trakcie całego postępowania karnego, a nawet przed jego wszczęciem (art. 11 ust. 1 dyrektywy 2011/36). Dodatkowo art. 11 ust. 3 tego aktu prawnego stanowi, że p</w:t>
      </w:r>
      <w:r w:rsidR="00D8771D" w:rsidRPr="00D8771D">
        <w:rPr>
          <w:rFonts w:asciiTheme="minorHAnsi" w:eastAsia="Times New Roman" w:hAnsiTheme="minorHAnsi" w:cstheme="minorHAnsi"/>
          <w:bCs/>
          <w:color w:val="auto"/>
          <w:sz w:val="24"/>
          <w:szCs w:val="24"/>
        </w:rPr>
        <w:t>aństwa członkowskie podejmują środki niezbędne do zapewnienia, by udzielenie wsparcia i pomocy ofierze nie było zależne od jej gotowości do współpracy podczas śledztwa, przygotowan</w:t>
      </w:r>
      <w:r w:rsidR="00EA5F96">
        <w:rPr>
          <w:rFonts w:asciiTheme="minorHAnsi" w:eastAsia="Times New Roman" w:hAnsiTheme="minorHAnsi" w:cstheme="minorHAnsi"/>
          <w:bCs/>
          <w:color w:val="auto"/>
          <w:sz w:val="24"/>
          <w:szCs w:val="24"/>
        </w:rPr>
        <w:t xml:space="preserve">ia aktu oskarżenia lub procesu. </w:t>
      </w:r>
    </w:p>
    <w:p w14:paraId="1EE17B85" w14:textId="22684827" w:rsidR="00DC09F2" w:rsidRDefault="00DC09F2" w:rsidP="000751FB">
      <w:pPr>
        <w:pStyle w:val="Akapitzlist"/>
        <w:spacing w:after="120"/>
        <w:ind w:left="215"/>
        <w:contextualSpacing w:val="0"/>
        <w:jc w:val="both"/>
        <w:rPr>
          <w:rFonts w:asciiTheme="minorHAnsi" w:eastAsia="Times New Roman" w:hAnsiTheme="minorHAnsi" w:cstheme="minorHAnsi"/>
          <w:bCs/>
          <w:color w:val="auto"/>
          <w:sz w:val="24"/>
          <w:szCs w:val="24"/>
        </w:rPr>
      </w:pPr>
      <w:r>
        <w:rPr>
          <w:rFonts w:asciiTheme="minorHAnsi" w:eastAsia="Times New Roman" w:hAnsiTheme="minorHAnsi" w:cstheme="minorHAnsi"/>
          <w:bCs/>
          <w:color w:val="auto"/>
          <w:sz w:val="24"/>
          <w:szCs w:val="24"/>
        </w:rPr>
        <w:t xml:space="preserve">Ustanowienie dodatkowych wymogów, od których uzależnione jest otrzymanie zaświadczenia, na podstawie którego </w:t>
      </w:r>
      <w:r w:rsidR="001131E8">
        <w:rPr>
          <w:rFonts w:asciiTheme="minorHAnsi" w:eastAsia="Times New Roman" w:hAnsiTheme="minorHAnsi" w:cstheme="minorHAnsi"/>
          <w:bCs/>
          <w:color w:val="auto"/>
          <w:sz w:val="24"/>
          <w:szCs w:val="24"/>
        </w:rPr>
        <w:t xml:space="preserve">danej osobie </w:t>
      </w:r>
      <w:r>
        <w:rPr>
          <w:rFonts w:asciiTheme="minorHAnsi" w:eastAsia="Times New Roman" w:hAnsiTheme="minorHAnsi" w:cstheme="minorHAnsi"/>
          <w:bCs/>
          <w:color w:val="auto"/>
          <w:sz w:val="24"/>
          <w:szCs w:val="24"/>
        </w:rPr>
        <w:t>przysługuje p</w:t>
      </w:r>
      <w:r w:rsidRPr="00DC09F2">
        <w:rPr>
          <w:rFonts w:asciiTheme="minorHAnsi" w:eastAsia="Times New Roman" w:hAnsiTheme="minorHAnsi" w:cstheme="minorHAnsi"/>
          <w:bCs/>
          <w:color w:val="auto"/>
          <w:sz w:val="24"/>
          <w:szCs w:val="24"/>
        </w:rPr>
        <w:t xml:space="preserve">rawo do </w:t>
      </w:r>
      <w:r w:rsidRPr="00DC09F2">
        <w:rPr>
          <w:rFonts w:asciiTheme="minorHAnsi" w:eastAsia="Times New Roman" w:hAnsiTheme="minorHAnsi" w:cstheme="minorHAnsi" w:hint="eastAsia"/>
          <w:bCs/>
          <w:color w:val="auto"/>
          <w:sz w:val="24"/>
          <w:szCs w:val="24"/>
        </w:rPr>
        <w:t>ś</w:t>
      </w:r>
      <w:r w:rsidRPr="00DC09F2">
        <w:rPr>
          <w:rFonts w:asciiTheme="minorHAnsi" w:eastAsia="Times New Roman" w:hAnsiTheme="minorHAnsi" w:cstheme="minorHAnsi"/>
          <w:bCs/>
          <w:color w:val="auto"/>
          <w:sz w:val="24"/>
          <w:szCs w:val="24"/>
        </w:rPr>
        <w:t>wiadcze</w:t>
      </w:r>
      <w:r w:rsidRPr="00DC09F2">
        <w:rPr>
          <w:rFonts w:asciiTheme="minorHAnsi" w:eastAsia="Times New Roman" w:hAnsiTheme="minorHAnsi" w:cstheme="minorHAnsi" w:hint="eastAsia"/>
          <w:bCs/>
          <w:color w:val="auto"/>
          <w:sz w:val="24"/>
          <w:szCs w:val="24"/>
        </w:rPr>
        <w:t>ń</w:t>
      </w:r>
      <w:r w:rsidRPr="00DC09F2">
        <w:rPr>
          <w:rFonts w:asciiTheme="minorHAnsi" w:eastAsia="Times New Roman" w:hAnsiTheme="minorHAnsi" w:cstheme="minorHAnsi"/>
          <w:bCs/>
          <w:color w:val="auto"/>
          <w:sz w:val="24"/>
          <w:szCs w:val="24"/>
        </w:rPr>
        <w:t xml:space="preserve"> w</w:t>
      </w:r>
      <w:r w:rsidR="000751FB">
        <w:rPr>
          <w:rFonts w:asciiTheme="minorHAnsi" w:eastAsia="Times New Roman" w:hAnsiTheme="minorHAnsi" w:cstheme="minorHAnsi"/>
          <w:bCs/>
          <w:color w:val="auto"/>
          <w:sz w:val="24"/>
          <w:szCs w:val="24"/>
        </w:rPr>
        <w:t> </w:t>
      </w:r>
      <w:r w:rsidRPr="00DC09F2">
        <w:rPr>
          <w:rFonts w:asciiTheme="minorHAnsi" w:eastAsia="Times New Roman" w:hAnsiTheme="minorHAnsi" w:cstheme="minorHAnsi"/>
          <w:bCs/>
          <w:color w:val="auto"/>
          <w:sz w:val="24"/>
          <w:szCs w:val="24"/>
        </w:rPr>
        <w:t>formie interwencji kryzysowej, schronienia, posi</w:t>
      </w:r>
      <w:r w:rsidRPr="00DC09F2">
        <w:rPr>
          <w:rFonts w:asciiTheme="minorHAnsi" w:eastAsia="Times New Roman" w:hAnsiTheme="minorHAnsi" w:cstheme="minorHAnsi" w:hint="eastAsia"/>
          <w:bCs/>
          <w:color w:val="auto"/>
          <w:sz w:val="24"/>
          <w:szCs w:val="24"/>
        </w:rPr>
        <w:t>ł</w:t>
      </w:r>
      <w:r w:rsidRPr="00DC09F2">
        <w:rPr>
          <w:rFonts w:asciiTheme="minorHAnsi" w:eastAsia="Times New Roman" w:hAnsiTheme="minorHAnsi" w:cstheme="minorHAnsi"/>
          <w:bCs/>
          <w:color w:val="auto"/>
          <w:sz w:val="24"/>
          <w:szCs w:val="24"/>
        </w:rPr>
        <w:t>ku, niezb</w:t>
      </w:r>
      <w:r w:rsidRPr="00DC09F2">
        <w:rPr>
          <w:rFonts w:asciiTheme="minorHAnsi" w:eastAsia="Times New Roman" w:hAnsiTheme="minorHAnsi" w:cstheme="minorHAnsi" w:hint="eastAsia"/>
          <w:bCs/>
          <w:color w:val="auto"/>
          <w:sz w:val="24"/>
          <w:szCs w:val="24"/>
        </w:rPr>
        <w:t>ę</w:t>
      </w:r>
      <w:r w:rsidRPr="00DC09F2">
        <w:rPr>
          <w:rFonts w:asciiTheme="minorHAnsi" w:eastAsia="Times New Roman" w:hAnsiTheme="minorHAnsi" w:cstheme="minorHAnsi"/>
          <w:bCs/>
          <w:color w:val="auto"/>
          <w:sz w:val="24"/>
          <w:szCs w:val="24"/>
        </w:rPr>
        <w:t>dnego ubrania oraz zasi</w:t>
      </w:r>
      <w:r w:rsidRPr="00DC09F2">
        <w:rPr>
          <w:rFonts w:asciiTheme="minorHAnsi" w:eastAsia="Times New Roman" w:hAnsiTheme="minorHAnsi" w:cstheme="minorHAnsi" w:hint="eastAsia"/>
          <w:bCs/>
          <w:color w:val="auto"/>
          <w:sz w:val="24"/>
          <w:szCs w:val="24"/>
        </w:rPr>
        <w:t>ł</w:t>
      </w:r>
      <w:r w:rsidRPr="00DC09F2">
        <w:rPr>
          <w:rFonts w:asciiTheme="minorHAnsi" w:eastAsia="Times New Roman" w:hAnsiTheme="minorHAnsi" w:cstheme="minorHAnsi"/>
          <w:bCs/>
          <w:color w:val="auto"/>
          <w:sz w:val="24"/>
          <w:szCs w:val="24"/>
        </w:rPr>
        <w:t>ku celowego</w:t>
      </w:r>
      <w:r w:rsidR="009750E2">
        <w:rPr>
          <w:rFonts w:asciiTheme="minorHAnsi" w:eastAsia="Times New Roman" w:hAnsiTheme="minorHAnsi" w:cstheme="minorHAnsi"/>
          <w:bCs/>
          <w:color w:val="auto"/>
          <w:sz w:val="24"/>
          <w:szCs w:val="24"/>
        </w:rPr>
        <w:t>,</w:t>
      </w:r>
      <w:r w:rsidR="00220AFF">
        <w:rPr>
          <w:rFonts w:asciiTheme="minorHAnsi" w:eastAsia="Times New Roman" w:hAnsiTheme="minorHAnsi" w:cstheme="minorHAnsi"/>
          <w:bCs/>
          <w:color w:val="auto"/>
          <w:sz w:val="24"/>
          <w:szCs w:val="24"/>
        </w:rPr>
        <w:t xml:space="preserve"> budzi </w:t>
      </w:r>
      <w:r w:rsidR="000751FB">
        <w:rPr>
          <w:rFonts w:asciiTheme="minorHAnsi" w:eastAsia="Times New Roman" w:hAnsiTheme="minorHAnsi" w:cstheme="minorHAnsi"/>
          <w:bCs/>
          <w:color w:val="auto"/>
          <w:sz w:val="24"/>
          <w:szCs w:val="24"/>
        </w:rPr>
        <w:t xml:space="preserve">zatem </w:t>
      </w:r>
      <w:r w:rsidR="00220AFF">
        <w:rPr>
          <w:rFonts w:asciiTheme="minorHAnsi" w:eastAsia="Times New Roman" w:hAnsiTheme="minorHAnsi" w:cstheme="minorHAnsi"/>
          <w:bCs/>
          <w:color w:val="auto"/>
          <w:sz w:val="24"/>
          <w:szCs w:val="24"/>
        </w:rPr>
        <w:t xml:space="preserve">wątpliwości pod względem zgodności z art. 11 dyrektywy 2011/36. </w:t>
      </w:r>
    </w:p>
    <w:p w14:paraId="31A080AC" w14:textId="5AE47F20" w:rsidR="009F67EC" w:rsidRDefault="00220AFF" w:rsidP="000751FB">
      <w:pPr>
        <w:pStyle w:val="Akapitzlist"/>
        <w:spacing w:after="120"/>
        <w:ind w:left="215"/>
        <w:contextualSpacing w:val="0"/>
        <w:jc w:val="both"/>
        <w:rPr>
          <w:rFonts w:asciiTheme="minorHAnsi" w:eastAsia="Times New Roman" w:hAnsiTheme="minorHAnsi" w:cstheme="minorHAnsi"/>
          <w:bCs/>
          <w:color w:val="auto"/>
          <w:sz w:val="24"/>
          <w:szCs w:val="24"/>
        </w:rPr>
      </w:pPr>
      <w:r>
        <w:rPr>
          <w:rFonts w:asciiTheme="minorHAnsi" w:eastAsia="Times New Roman" w:hAnsiTheme="minorHAnsi" w:cstheme="minorHAnsi"/>
          <w:bCs/>
          <w:color w:val="auto"/>
          <w:sz w:val="24"/>
          <w:szCs w:val="24"/>
        </w:rPr>
        <w:t xml:space="preserve">Ta sama uwaga dotyczy </w:t>
      </w:r>
      <w:r w:rsidR="00F7234D">
        <w:rPr>
          <w:rFonts w:asciiTheme="minorHAnsi" w:eastAsia="Times New Roman" w:hAnsiTheme="minorHAnsi" w:cstheme="minorHAnsi"/>
          <w:bCs/>
          <w:color w:val="auto"/>
          <w:sz w:val="24"/>
          <w:szCs w:val="24"/>
        </w:rPr>
        <w:t xml:space="preserve">również </w:t>
      </w:r>
      <w:r>
        <w:rPr>
          <w:rFonts w:asciiTheme="minorHAnsi" w:eastAsia="Times New Roman" w:hAnsiTheme="minorHAnsi" w:cstheme="minorHAnsi"/>
          <w:bCs/>
          <w:color w:val="auto"/>
          <w:sz w:val="24"/>
          <w:szCs w:val="24"/>
        </w:rPr>
        <w:t>projektowanego art. 41c</w:t>
      </w:r>
      <w:r w:rsidRPr="00220AFF">
        <w:rPr>
          <w:rFonts w:asciiTheme="minorHAnsi" w:eastAsia="Times New Roman" w:hAnsiTheme="minorHAnsi" w:cstheme="minorHAnsi"/>
          <w:bCs/>
          <w:color w:val="auto"/>
          <w:sz w:val="24"/>
          <w:szCs w:val="24"/>
        </w:rPr>
        <w:t xml:space="preserve"> ustawy o wjeździe (art. 1 pkt 38 projektu)</w:t>
      </w:r>
      <w:r>
        <w:rPr>
          <w:rFonts w:asciiTheme="minorHAnsi" w:eastAsia="Times New Roman" w:hAnsiTheme="minorHAnsi" w:cstheme="minorHAnsi"/>
          <w:bCs/>
          <w:color w:val="auto"/>
          <w:sz w:val="24"/>
          <w:szCs w:val="24"/>
        </w:rPr>
        <w:t xml:space="preserve">, który przewiduje sytuacje, w których otrzymane zaświadczenie podlega unieważnieniu. </w:t>
      </w:r>
    </w:p>
    <w:p w14:paraId="7DB3F84C" w14:textId="37FBDD7E" w:rsidR="00BA412B" w:rsidRDefault="00904FB9" w:rsidP="000751FB">
      <w:pPr>
        <w:pStyle w:val="Akapitzlist"/>
        <w:numPr>
          <w:ilvl w:val="0"/>
          <w:numId w:val="3"/>
        </w:numPr>
        <w:spacing w:after="120" w:line="276" w:lineRule="auto"/>
        <w:jc w:val="both"/>
        <w:rPr>
          <w:rFonts w:asciiTheme="minorHAnsi" w:eastAsia="Times New Roman" w:hAnsiTheme="minorHAnsi" w:cstheme="minorHAnsi"/>
          <w:color w:val="auto"/>
          <w:sz w:val="24"/>
          <w:szCs w:val="24"/>
        </w:rPr>
      </w:pPr>
      <w:r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Projekt ustawy w odnośniku wskazuje, że ustawa ma dokonać uzupełnienia wdrożenia </w:t>
      </w:r>
      <w:r w:rsidRPr="00904FB9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dyrektywy 2004/38/WE </w:t>
      </w:r>
      <w:r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oraz </w:t>
      </w:r>
      <w:r w:rsidRPr="00904FB9">
        <w:rPr>
          <w:rFonts w:asciiTheme="minorHAnsi" w:eastAsia="Times New Roman" w:hAnsiTheme="minorHAnsi" w:cstheme="minorHAnsi"/>
          <w:color w:val="auto"/>
          <w:sz w:val="24"/>
          <w:szCs w:val="24"/>
        </w:rPr>
        <w:t>dyrektywy 2011/36/UE</w:t>
      </w:r>
      <w:r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. </w:t>
      </w:r>
      <w:r w:rsidR="006C1119" w:rsidRPr="000751FB">
        <w:rPr>
          <w:rFonts w:asciiTheme="minorHAnsi" w:eastAsia="Times New Roman" w:hAnsiTheme="minorHAnsi" w:cstheme="minorHAnsi"/>
          <w:color w:val="auto"/>
          <w:sz w:val="24"/>
          <w:szCs w:val="24"/>
        </w:rPr>
        <w:t>Uprzejmie przypominam, że zgodnie z Procedurą Transpozycji Aktów Prawnych Unii Europejskiej, przyjętą przez Komitet do</w:t>
      </w:r>
      <w:r w:rsidR="000751FB">
        <w:rPr>
          <w:rFonts w:asciiTheme="minorHAnsi" w:eastAsia="Times New Roman" w:hAnsiTheme="minorHAnsi" w:cstheme="minorHAnsi"/>
          <w:color w:val="auto"/>
          <w:sz w:val="24"/>
          <w:szCs w:val="24"/>
        </w:rPr>
        <w:t> </w:t>
      </w:r>
      <w:r w:rsidR="006C1119" w:rsidRPr="000751FB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Spraw Europejskich, procesowi wykonywania aktu prawnego UE towarzyszy tabela zbieżności zawierająca tabelaryczne zestawienie przepisów prawa UE i projektowanych przepisów prawa krajowego, wskazująca w jaki sposób poszczególne przepisy aktu prawnego są wykonywane w krajowym porządku prawnym. </w:t>
      </w:r>
      <w:r w:rsidR="001B1EBA" w:rsidRPr="000751FB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Obowiązek przygotowania tabeli zgodności </w:t>
      </w:r>
      <w:r w:rsidR="001E6DE1" w:rsidRPr="000751FB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wynika </w:t>
      </w:r>
      <w:r w:rsidR="001B1EBA" w:rsidRPr="000751FB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również </w:t>
      </w:r>
      <w:r w:rsidR="001E6DE1" w:rsidRPr="000751FB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z § 30 ust. 1 Regulaminu pracy Rady Ministrów. </w:t>
      </w:r>
      <w:r w:rsidR="006C1119" w:rsidRPr="000751FB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Powyższe wymogi zostały zawarte </w:t>
      </w:r>
      <w:r w:rsidR="00856825" w:rsidRPr="000751FB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również </w:t>
      </w:r>
      <w:r w:rsidR="006C1119" w:rsidRPr="000751FB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w art. 34 ust. 4a Regulaminu Sejmu. </w:t>
      </w:r>
      <w:r w:rsidR="00775BFF" w:rsidRPr="000751FB">
        <w:rPr>
          <w:rFonts w:asciiTheme="minorHAnsi" w:eastAsia="Times New Roman" w:hAnsiTheme="minorHAnsi" w:cstheme="minorHAnsi"/>
          <w:color w:val="auto"/>
          <w:sz w:val="24"/>
          <w:szCs w:val="24"/>
        </w:rPr>
        <w:t>Mając powyższe na</w:t>
      </w:r>
      <w:r w:rsidR="000751FB">
        <w:rPr>
          <w:rFonts w:asciiTheme="minorHAnsi" w:eastAsia="Times New Roman" w:hAnsiTheme="minorHAnsi" w:cstheme="minorHAnsi"/>
          <w:color w:val="auto"/>
          <w:sz w:val="24"/>
          <w:szCs w:val="24"/>
        </w:rPr>
        <w:t> </w:t>
      </w:r>
      <w:r w:rsidR="00775BFF" w:rsidRPr="000751FB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uwadze </w:t>
      </w:r>
      <w:r w:rsidR="006C1119" w:rsidRPr="000751FB">
        <w:rPr>
          <w:rFonts w:asciiTheme="minorHAnsi" w:eastAsia="Times New Roman" w:hAnsiTheme="minorHAnsi" w:cstheme="minorHAnsi"/>
          <w:color w:val="auto"/>
          <w:sz w:val="24"/>
          <w:szCs w:val="24"/>
        </w:rPr>
        <w:t>zwracam się z uprzejmą prośbą o prze</w:t>
      </w:r>
      <w:r w:rsidR="00423F53" w:rsidRPr="000751FB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dstawienie tabel </w:t>
      </w:r>
      <w:r w:rsidR="007816C8" w:rsidRPr="000751FB">
        <w:rPr>
          <w:rFonts w:asciiTheme="minorHAnsi" w:eastAsia="Times New Roman" w:hAnsiTheme="minorHAnsi" w:cstheme="minorHAnsi"/>
          <w:color w:val="auto"/>
          <w:sz w:val="24"/>
          <w:szCs w:val="24"/>
        </w:rPr>
        <w:t>zbieżności do</w:t>
      </w:r>
      <w:r w:rsidR="000751FB">
        <w:rPr>
          <w:rFonts w:asciiTheme="minorHAnsi" w:eastAsia="Times New Roman" w:hAnsiTheme="minorHAnsi" w:cstheme="minorHAnsi"/>
          <w:color w:val="auto"/>
          <w:sz w:val="24"/>
          <w:szCs w:val="24"/>
        </w:rPr>
        <w:t> </w:t>
      </w:r>
      <w:r w:rsidR="007816C8" w:rsidRPr="000751FB">
        <w:rPr>
          <w:rFonts w:asciiTheme="minorHAnsi" w:eastAsia="Times New Roman" w:hAnsiTheme="minorHAnsi" w:cstheme="minorHAnsi"/>
          <w:color w:val="auto"/>
          <w:sz w:val="24"/>
          <w:szCs w:val="24"/>
        </w:rPr>
        <w:t>wskazanych aktów prawa UE</w:t>
      </w:r>
      <w:r w:rsidR="0036372E" w:rsidRPr="000751FB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. </w:t>
      </w:r>
      <w:r w:rsidR="00B00BBC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Ponadto zwracam uwagę, że </w:t>
      </w:r>
      <w:r w:rsidR="001C1FBE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projekt zawiera przepisy wykraczające poza wdrożenie prawa UE. </w:t>
      </w:r>
      <w:r w:rsidR="00BA412B">
        <w:rPr>
          <w:rFonts w:asciiTheme="minorHAnsi" w:eastAsia="Times New Roman" w:hAnsiTheme="minorHAnsi" w:cstheme="minorHAnsi"/>
          <w:color w:val="auto"/>
          <w:sz w:val="24"/>
          <w:szCs w:val="24"/>
        </w:rPr>
        <w:t>Zgodnie z § 30 ust. 2</w:t>
      </w:r>
      <w:r w:rsidR="00BA412B" w:rsidRPr="000751FB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 Regulaminu pracy Rady Ministrów</w:t>
      </w:r>
      <w:r w:rsidR="00BA412B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, </w:t>
      </w:r>
      <w:r w:rsidR="00A8557F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w takim przypadku </w:t>
      </w:r>
      <w:r w:rsidR="00BA412B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należy dołączyć do projektu tabelaryczne zestawienie </w:t>
      </w:r>
      <w:r w:rsidR="00A8557F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projektowanych przepisów ustawy, które wykraczają poza cel wdrożenia prawa UE, </w:t>
      </w:r>
      <w:r w:rsidR="00BA412B">
        <w:rPr>
          <w:rFonts w:asciiTheme="minorHAnsi" w:eastAsia="Times New Roman" w:hAnsiTheme="minorHAnsi" w:cstheme="minorHAnsi"/>
          <w:color w:val="auto"/>
          <w:sz w:val="24"/>
          <w:szCs w:val="24"/>
        </w:rPr>
        <w:lastRenderedPageBreak/>
        <w:t>wraz</w:t>
      </w:r>
      <w:r w:rsidR="00FB46F6">
        <w:rPr>
          <w:rFonts w:asciiTheme="minorHAnsi" w:eastAsia="Times New Roman" w:hAnsiTheme="minorHAnsi" w:cstheme="minorHAnsi"/>
          <w:color w:val="auto"/>
          <w:sz w:val="24"/>
          <w:szCs w:val="24"/>
        </w:rPr>
        <w:t> </w:t>
      </w:r>
      <w:r w:rsidR="00BA412B">
        <w:rPr>
          <w:rFonts w:asciiTheme="minorHAnsi" w:eastAsia="Times New Roman" w:hAnsiTheme="minorHAnsi" w:cstheme="minorHAnsi"/>
          <w:color w:val="auto"/>
          <w:sz w:val="24"/>
          <w:szCs w:val="24"/>
        </w:rPr>
        <w:t>z</w:t>
      </w:r>
      <w:r w:rsidR="00FB46F6">
        <w:rPr>
          <w:rFonts w:asciiTheme="minorHAnsi" w:eastAsia="Times New Roman" w:hAnsiTheme="minorHAnsi" w:cstheme="minorHAnsi"/>
          <w:color w:val="auto"/>
          <w:sz w:val="24"/>
          <w:szCs w:val="24"/>
        </w:rPr>
        <w:t> </w:t>
      </w:r>
      <w:r w:rsidR="00BA412B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wyjaśnieniem niezbędności objęcia ich tym projektem. W związku z tym proszę również o przedstawienie odwróconej tabeli zbieżności. </w:t>
      </w:r>
    </w:p>
    <w:p w14:paraId="314917B4" w14:textId="77777777" w:rsidR="00BA412B" w:rsidRDefault="00BA412B" w:rsidP="00F957C3">
      <w:pPr>
        <w:spacing w:after="0" w:line="276" w:lineRule="auto"/>
        <w:ind w:left="-142"/>
        <w:jc w:val="both"/>
        <w:rPr>
          <w:rFonts w:asciiTheme="minorHAnsi" w:eastAsia="Times New Roman" w:hAnsiTheme="minorHAnsi" w:cstheme="minorHAnsi"/>
          <w:b/>
          <w:color w:val="auto"/>
          <w:sz w:val="24"/>
          <w:szCs w:val="24"/>
        </w:rPr>
      </w:pPr>
    </w:p>
    <w:p w14:paraId="31F06A20" w14:textId="00FFD0B9" w:rsidR="00B9144F" w:rsidRPr="008562D5" w:rsidRDefault="00B9144F" w:rsidP="00F957C3">
      <w:pPr>
        <w:spacing w:after="0" w:line="276" w:lineRule="auto"/>
        <w:ind w:left="-142"/>
        <w:jc w:val="both"/>
        <w:rPr>
          <w:rFonts w:asciiTheme="minorHAnsi" w:eastAsia="Times New Roman" w:hAnsiTheme="minorHAnsi" w:cstheme="minorHAnsi"/>
          <w:b/>
          <w:color w:val="auto"/>
          <w:sz w:val="24"/>
          <w:szCs w:val="24"/>
        </w:rPr>
      </w:pPr>
      <w:r w:rsidRPr="008562D5">
        <w:rPr>
          <w:rFonts w:asciiTheme="minorHAnsi" w:eastAsia="Times New Roman" w:hAnsiTheme="minorHAnsi" w:cstheme="minorHAnsi"/>
          <w:b/>
          <w:color w:val="auto"/>
          <w:sz w:val="24"/>
          <w:szCs w:val="24"/>
        </w:rPr>
        <w:t>Projekt</w:t>
      </w:r>
      <w:r w:rsidR="00825CA7" w:rsidRPr="008562D5">
        <w:rPr>
          <w:rFonts w:asciiTheme="minorHAnsi" w:eastAsia="Times New Roman" w:hAnsiTheme="minorHAnsi" w:cstheme="minorHAnsi"/>
          <w:b/>
          <w:color w:val="auto"/>
          <w:sz w:val="24"/>
          <w:szCs w:val="24"/>
        </w:rPr>
        <w:t xml:space="preserve"> </w:t>
      </w:r>
      <w:r w:rsidR="000312A8" w:rsidRPr="008562D5">
        <w:rPr>
          <w:rFonts w:asciiTheme="minorHAnsi" w:eastAsia="Times New Roman" w:hAnsiTheme="minorHAnsi" w:cstheme="minorHAnsi"/>
          <w:b/>
          <w:color w:val="auto"/>
          <w:sz w:val="24"/>
          <w:szCs w:val="24"/>
        </w:rPr>
        <w:t xml:space="preserve">ustawy </w:t>
      </w:r>
      <w:r w:rsidR="00DA35B8">
        <w:rPr>
          <w:rFonts w:asciiTheme="minorHAnsi" w:eastAsia="Times New Roman" w:hAnsiTheme="minorHAnsi" w:cstheme="minorHAnsi"/>
          <w:b/>
          <w:color w:val="auto"/>
          <w:sz w:val="24"/>
          <w:szCs w:val="24"/>
        </w:rPr>
        <w:t>jest zgodny</w:t>
      </w:r>
      <w:r w:rsidR="000312A8" w:rsidRPr="008562D5">
        <w:rPr>
          <w:rFonts w:asciiTheme="minorHAnsi" w:eastAsia="Times New Roman" w:hAnsiTheme="minorHAnsi" w:cstheme="minorHAnsi"/>
          <w:b/>
          <w:color w:val="auto"/>
          <w:sz w:val="24"/>
          <w:szCs w:val="24"/>
        </w:rPr>
        <w:t xml:space="preserve"> z </w:t>
      </w:r>
      <w:r w:rsidR="00FF7405" w:rsidRPr="008562D5">
        <w:rPr>
          <w:rFonts w:asciiTheme="minorHAnsi" w:eastAsia="Times New Roman" w:hAnsiTheme="minorHAnsi" w:cstheme="minorHAnsi"/>
          <w:b/>
          <w:color w:val="auto"/>
          <w:sz w:val="24"/>
          <w:szCs w:val="24"/>
        </w:rPr>
        <w:t>prawem</w:t>
      </w:r>
      <w:r w:rsidR="000312A8" w:rsidRPr="008562D5">
        <w:rPr>
          <w:rFonts w:asciiTheme="minorHAnsi" w:eastAsia="Times New Roman" w:hAnsiTheme="minorHAnsi" w:cstheme="minorHAnsi"/>
          <w:b/>
          <w:color w:val="auto"/>
          <w:sz w:val="24"/>
          <w:szCs w:val="24"/>
        </w:rPr>
        <w:t xml:space="preserve"> Unii Europejskiej, z zastrzeżeniem uwag zawartych w</w:t>
      </w:r>
      <w:r w:rsidR="00FB46F6">
        <w:rPr>
          <w:rFonts w:asciiTheme="minorHAnsi" w:eastAsia="Times New Roman" w:hAnsiTheme="minorHAnsi" w:cstheme="minorHAnsi"/>
          <w:b/>
          <w:color w:val="auto"/>
          <w:sz w:val="24"/>
          <w:szCs w:val="24"/>
        </w:rPr>
        <w:t> </w:t>
      </w:r>
      <w:r w:rsidR="000312A8" w:rsidRPr="008562D5">
        <w:rPr>
          <w:rFonts w:asciiTheme="minorHAnsi" w:eastAsia="Times New Roman" w:hAnsiTheme="minorHAnsi" w:cstheme="minorHAnsi"/>
          <w:b/>
          <w:color w:val="auto"/>
          <w:sz w:val="24"/>
          <w:szCs w:val="24"/>
        </w:rPr>
        <w:t>niniejszej opinii.</w:t>
      </w:r>
    </w:p>
    <w:p w14:paraId="6F242524" w14:textId="77777777" w:rsidR="00EB404A" w:rsidRPr="008562D5" w:rsidRDefault="00EB404A" w:rsidP="008562D5">
      <w:pPr>
        <w:pStyle w:val="Tekstpodstawowy"/>
        <w:spacing w:after="0" w:line="276" w:lineRule="auto"/>
        <w:ind w:left="-426" w:firstLine="284"/>
        <w:jc w:val="both"/>
        <w:rPr>
          <w:rFonts w:asciiTheme="minorHAnsi" w:hAnsiTheme="minorHAnsi" w:cstheme="minorHAnsi"/>
          <w:b/>
          <w:szCs w:val="24"/>
        </w:rPr>
      </w:pPr>
    </w:p>
    <w:p w14:paraId="349C91C6" w14:textId="77777777" w:rsidR="00EB404A" w:rsidRPr="00780D6B" w:rsidRDefault="00EB404A" w:rsidP="009B1ED8">
      <w:pPr>
        <w:ind w:left="4956" w:right="-1" w:firstLine="284"/>
        <w:jc w:val="both"/>
        <w:rPr>
          <w:i/>
          <w:sz w:val="24"/>
          <w:szCs w:val="24"/>
        </w:rPr>
      </w:pPr>
      <w:r w:rsidRPr="00780D6B">
        <w:rPr>
          <w:i/>
          <w:sz w:val="24"/>
          <w:szCs w:val="24"/>
        </w:rPr>
        <w:t>Z poważaniem</w:t>
      </w:r>
    </w:p>
    <w:p w14:paraId="75912282" w14:textId="77777777" w:rsidR="00804066" w:rsidRPr="00780D6B" w:rsidRDefault="00804066" w:rsidP="00804066">
      <w:pPr>
        <w:spacing w:after="0" w:line="240" w:lineRule="auto"/>
        <w:ind w:left="2835"/>
        <w:jc w:val="center"/>
        <w:rPr>
          <w:sz w:val="24"/>
          <w:szCs w:val="24"/>
          <w:lang w:eastAsia="en-US"/>
        </w:rPr>
      </w:pPr>
      <w:r w:rsidRPr="00780D6B">
        <w:rPr>
          <w:sz w:val="24"/>
          <w:szCs w:val="24"/>
          <w:lang w:eastAsia="en-US"/>
        </w:rPr>
        <w:t>Konrad Szymański</w:t>
      </w:r>
    </w:p>
    <w:p w14:paraId="5BE5BD4D" w14:textId="77777777" w:rsidR="00804066" w:rsidRPr="00780D6B" w:rsidRDefault="00804066" w:rsidP="00804066">
      <w:pPr>
        <w:spacing w:after="0" w:line="240" w:lineRule="auto"/>
        <w:ind w:left="2835"/>
        <w:jc w:val="center"/>
        <w:rPr>
          <w:sz w:val="24"/>
          <w:szCs w:val="24"/>
          <w:lang w:eastAsia="en-US"/>
        </w:rPr>
      </w:pPr>
      <w:r w:rsidRPr="00780D6B">
        <w:rPr>
          <w:sz w:val="24"/>
          <w:szCs w:val="24"/>
          <w:lang w:eastAsia="en-US"/>
        </w:rPr>
        <w:t>Minister do Spraw Unii Europejskiej</w:t>
      </w:r>
    </w:p>
    <w:p w14:paraId="52D8ACD0" w14:textId="3C4CD029" w:rsidR="00B9144F" w:rsidRPr="00B9144F" w:rsidRDefault="00804066" w:rsidP="001545C3">
      <w:pPr>
        <w:spacing w:after="60" w:line="240" w:lineRule="auto"/>
        <w:ind w:left="3540"/>
        <w:rPr>
          <w:i/>
        </w:rPr>
      </w:pPr>
      <w:r w:rsidRPr="00780D6B">
        <w:rPr>
          <w:i/>
          <w:sz w:val="24"/>
          <w:szCs w:val="24"/>
          <w:lang w:eastAsia="en-US"/>
        </w:rPr>
        <w:t>/podpisano kwalifikowanym podpisem elektronicznym/</w:t>
      </w:r>
    </w:p>
    <w:sectPr w:rsidR="00B9144F" w:rsidRPr="00B9144F">
      <w:headerReference w:type="default" r:id="rId9"/>
      <w:footerReference w:type="default" r:id="rId10"/>
      <w:pgSz w:w="11906" w:h="16838"/>
      <w:pgMar w:top="674" w:right="1440" w:bottom="907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B517B1" w14:textId="77777777" w:rsidR="00F40A64" w:rsidRDefault="00F40A64" w:rsidP="00884D92">
      <w:pPr>
        <w:spacing w:after="0" w:line="240" w:lineRule="auto"/>
      </w:pPr>
      <w:r>
        <w:separator/>
      </w:r>
    </w:p>
  </w:endnote>
  <w:endnote w:type="continuationSeparator" w:id="0">
    <w:p w14:paraId="0B7C06B7" w14:textId="77777777" w:rsidR="00F40A64" w:rsidRDefault="00F40A64" w:rsidP="00884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98485630"/>
      <w:docPartObj>
        <w:docPartGallery w:val="Page Numbers (Bottom of Page)"/>
        <w:docPartUnique/>
      </w:docPartObj>
    </w:sdtPr>
    <w:sdtEndPr/>
    <w:sdtContent>
      <w:p w14:paraId="0676DB43" w14:textId="1B944D08" w:rsidR="00A30373" w:rsidRDefault="00A3037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294C">
          <w:rPr>
            <w:noProof/>
          </w:rPr>
          <w:t>6</w:t>
        </w:r>
        <w:r>
          <w:fldChar w:fldCharType="end"/>
        </w:r>
      </w:p>
    </w:sdtContent>
  </w:sdt>
  <w:p w14:paraId="7D4402B8" w14:textId="77777777" w:rsidR="00A30373" w:rsidRDefault="00A3037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A299BF" w14:textId="77777777" w:rsidR="00F40A64" w:rsidRDefault="00F40A64" w:rsidP="00884D92">
      <w:pPr>
        <w:spacing w:after="0" w:line="240" w:lineRule="auto"/>
      </w:pPr>
      <w:r>
        <w:separator/>
      </w:r>
    </w:p>
  </w:footnote>
  <w:footnote w:type="continuationSeparator" w:id="0">
    <w:p w14:paraId="0170028F" w14:textId="77777777" w:rsidR="00F40A64" w:rsidRDefault="00F40A64" w:rsidP="00884D92">
      <w:pPr>
        <w:spacing w:after="0" w:line="240" w:lineRule="auto"/>
      </w:pPr>
      <w:r>
        <w:continuationSeparator/>
      </w:r>
    </w:p>
  </w:footnote>
  <w:footnote w:id="1">
    <w:p w14:paraId="04E6FB70" w14:textId="047001A4" w:rsidR="009D5D3E" w:rsidRPr="00E85689" w:rsidRDefault="009D5D3E" w:rsidP="007522A4">
      <w:pPr>
        <w:pStyle w:val="Tekstprzypisudolnego"/>
        <w:jc w:val="both"/>
      </w:pPr>
      <w:r w:rsidRPr="00E85689">
        <w:rPr>
          <w:rStyle w:val="Odwoanieprzypisudolnego"/>
        </w:rPr>
        <w:footnoteRef/>
      </w:r>
      <w:r w:rsidRPr="00E85689">
        <w:t xml:space="preserve"> </w:t>
      </w:r>
      <w:r w:rsidRPr="00E85689">
        <w:rPr>
          <w:rFonts w:asciiTheme="minorHAnsi" w:hAnsiTheme="minorHAnsi" w:cstheme="minorHAnsi"/>
          <w:color w:val="auto"/>
          <w:lang w:eastAsia="en-US"/>
        </w:rPr>
        <w:t xml:space="preserve">Komunikat Komisji do Parlamentu Europejskiego i Rady </w:t>
      </w:r>
      <w:r w:rsidR="00E85689" w:rsidRPr="00E85689">
        <w:rPr>
          <w:rFonts w:asciiTheme="minorHAnsi" w:hAnsiTheme="minorHAnsi" w:cstheme="minorHAnsi"/>
          <w:color w:val="auto"/>
          <w:lang w:eastAsia="en-US"/>
        </w:rPr>
        <w:t xml:space="preserve"> - </w:t>
      </w:r>
      <w:r w:rsidRPr="00E85689">
        <w:rPr>
          <w:rFonts w:asciiTheme="minorHAnsi" w:hAnsiTheme="minorHAnsi" w:cstheme="minorHAnsi"/>
          <w:color w:val="auto"/>
          <w:lang w:eastAsia="en-US"/>
        </w:rPr>
        <w:t>wytyczne w celu skuteczniejszej transpozycji i</w:t>
      </w:r>
      <w:r w:rsidR="007522A4">
        <w:rPr>
          <w:rFonts w:asciiTheme="minorHAnsi" w:hAnsiTheme="minorHAnsi" w:cstheme="minorHAnsi"/>
          <w:color w:val="auto"/>
          <w:lang w:eastAsia="en-US"/>
        </w:rPr>
        <w:t> </w:t>
      </w:r>
      <w:r w:rsidRPr="00E85689">
        <w:rPr>
          <w:rFonts w:asciiTheme="minorHAnsi" w:hAnsiTheme="minorHAnsi" w:cstheme="minorHAnsi"/>
          <w:color w:val="auto"/>
          <w:lang w:eastAsia="en-US"/>
        </w:rPr>
        <w:t>stosowania dyrektywy 2004/38/WE w sprawie prawa obywateli Unii i członków ich rodzin do swobodnego przemieszczania się i pobytu na terytorium państw członkowskich z dnia 2 lipca 2009 r (KOM (2009) 313)</w:t>
      </w:r>
      <w:r w:rsidR="006919E0" w:rsidRPr="00E85689">
        <w:rPr>
          <w:rFonts w:asciiTheme="minorHAnsi" w:hAnsiTheme="minorHAnsi" w:cstheme="minorHAnsi"/>
          <w:color w:val="auto"/>
          <w:lang w:eastAsia="en-US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03848" w14:textId="77777777" w:rsidR="00ED1491" w:rsidRDefault="00ED1491" w:rsidP="00ED1491">
    <w:pPr>
      <w:pStyle w:val="Nagwek"/>
      <w:tabs>
        <w:tab w:val="clear" w:pos="4536"/>
        <w:tab w:val="center" w:pos="5670"/>
        <w:tab w:val="left" w:pos="7088"/>
      </w:tabs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D5712D"/>
    <w:multiLevelType w:val="hybridMultilevel"/>
    <w:tmpl w:val="F8D2254E"/>
    <w:lvl w:ilvl="0" w:tplc="6E621D42">
      <w:start w:val="1"/>
      <w:numFmt w:val="decimal"/>
      <w:lvlText w:val="%1."/>
      <w:lvlJc w:val="left"/>
      <w:pPr>
        <w:ind w:left="218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2D4B50B8"/>
    <w:multiLevelType w:val="hybridMultilevel"/>
    <w:tmpl w:val="0B74E68A"/>
    <w:lvl w:ilvl="0" w:tplc="85CC8BC8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4232354B"/>
    <w:multiLevelType w:val="hybridMultilevel"/>
    <w:tmpl w:val="8352872C"/>
    <w:lvl w:ilvl="0" w:tplc="4C5AA722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41D"/>
    <w:rsid w:val="000262EA"/>
    <w:rsid w:val="00027248"/>
    <w:rsid w:val="000312A8"/>
    <w:rsid w:val="00044ED8"/>
    <w:rsid w:val="0005128E"/>
    <w:rsid w:val="00051DCA"/>
    <w:rsid w:val="000751FB"/>
    <w:rsid w:val="00075674"/>
    <w:rsid w:val="00081E5F"/>
    <w:rsid w:val="000A799C"/>
    <w:rsid w:val="000B1D7A"/>
    <w:rsid w:val="000B28A9"/>
    <w:rsid w:val="000B4B2E"/>
    <w:rsid w:val="000B641D"/>
    <w:rsid w:val="000B7445"/>
    <w:rsid w:val="000C3B03"/>
    <w:rsid w:val="000D486D"/>
    <w:rsid w:val="000E3E1B"/>
    <w:rsid w:val="000F761E"/>
    <w:rsid w:val="001131E8"/>
    <w:rsid w:val="00120030"/>
    <w:rsid w:val="00121E75"/>
    <w:rsid w:val="0012319A"/>
    <w:rsid w:val="00144397"/>
    <w:rsid w:val="001458F4"/>
    <w:rsid w:val="001467F9"/>
    <w:rsid w:val="00150FBE"/>
    <w:rsid w:val="001545C3"/>
    <w:rsid w:val="0017078E"/>
    <w:rsid w:val="00175BBC"/>
    <w:rsid w:val="001802EE"/>
    <w:rsid w:val="00195718"/>
    <w:rsid w:val="001A3D9F"/>
    <w:rsid w:val="001A67D1"/>
    <w:rsid w:val="001B1EBA"/>
    <w:rsid w:val="001B4D9A"/>
    <w:rsid w:val="001C1017"/>
    <w:rsid w:val="001C1FBE"/>
    <w:rsid w:val="001C7BA4"/>
    <w:rsid w:val="001D3474"/>
    <w:rsid w:val="001D53EB"/>
    <w:rsid w:val="001D7D56"/>
    <w:rsid w:val="001E3DB4"/>
    <w:rsid w:val="001E6DE1"/>
    <w:rsid w:val="001E761D"/>
    <w:rsid w:val="001F7C7B"/>
    <w:rsid w:val="00203432"/>
    <w:rsid w:val="0021295B"/>
    <w:rsid w:val="00220AFF"/>
    <w:rsid w:val="00232A18"/>
    <w:rsid w:val="00240171"/>
    <w:rsid w:val="002459E8"/>
    <w:rsid w:val="002468D2"/>
    <w:rsid w:val="0025436D"/>
    <w:rsid w:val="0026267C"/>
    <w:rsid w:val="002629CC"/>
    <w:rsid w:val="00263784"/>
    <w:rsid w:val="00276C00"/>
    <w:rsid w:val="00283F8C"/>
    <w:rsid w:val="0029337C"/>
    <w:rsid w:val="002A1E4C"/>
    <w:rsid w:val="002A227C"/>
    <w:rsid w:val="002C1119"/>
    <w:rsid w:val="002C256D"/>
    <w:rsid w:val="002C7953"/>
    <w:rsid w:val="002D6D90"/>
    <w:rsid w:val="002F2EF8"/>
    <w:rsid w:val="00314083"/>
    <w:rsid w:val="00321435"/>
    <w:rsid w:val="0034329A"/>
    <w:rsid w:val="00343E25"/>
    <w:rsid w:val="00345654"/>
    <w:rsid w:val="00356F13"/>
    <w:rsid w:val="0036308D"/>
    <w:rsid w:val="0036372E"/>
    <w:rsid w:val="00366BF0"/>
    <w:rsid w:val="00376D14"/>
    <w:rsid w:val="00381526"/>
    <w:rsid w:val="003820FF"/>
    <w:rsid w:val="003845E8"/>
    <w:rsid w:val="003969A5"/>
    <w:rsid w:val="003A3666"/>
    <w:rsid w:val="003B2323"/>
    <w:rsid w:val="003D57D8"/>
    <w:rsid w:val="003E4C90"/>
    <w:rsid w:val="003F3594"/>
    <w:rsid w:val="003F4478"/>
    <w:rsid w:val="003F6FA5"/>
    <w:rsid w:val="00423F53"/>
    <w:rsid w:val="00427A5C"/>
    <w:rsid w:val="0045375A"/>
    <w:rsid w:val="00460BB8"/>
    <w:rsid w:val="00462F68"/>
    <w:rsid w:val="004710B8"/>
    <w:rsid w:val="00474429"/>
    <w:rsid w:val="00484C57"/>
    <w:rsid w:val="00491D19"/>
    <w:rsid w:val="004A33B5"/>
    <w:rsid w:val="004B3C9D"/>
    <w:rsid w:val="004B43F1"/>
    <w:rsid w:val="004D1D0F"/>
    <w:rsid w:val="004D5D3A"/>
    <w:rsid w:val="004D5DE4"/>
    <w:rsid w:val="004E720A"/>
    <w:rsid w:val="004E7930"/>
    <w:rsid w:val="004F15D2"/>
    <w:rsid w:val="004F16C1"/>
    <w:rsid w:val="00504326"/>
    <w:rsid w:val="0050473A"/>
    <w:rsid w:val="0050528B"/>
    <w:rsid w:val="00507322"/>
    <w:rsid w:val="00543D6C"/>
    <w:rsid w:val="005467D1"/>
    <w:rsid w:val="00550774"/>
    <w:rsid w:val="00551E33"/>
    <w:rsid w:val="0056108F"/>
    <w:rsid w:val="005877DB"/>
    <w:rsid w:val="005A59AD"/>
    <w:rsid w:val="005B2910"/>
    <w:rsid w:val="005B6822"/>
    <w:rsid w:val="005D16E4"/>
    <w:rsid w:val="005D2451"/>
    <w:rsid w:val="005D755C"/>
    <w:rsid w:val="005E4BB0"/>
    <w:rsid w:val="005F592D"/>
    <w:rsid w:val="00631ABF"/>
    <w:rsid w:val="00654308"/>
    <w:rsid w:val="0066094A"/>
    <w:rsid w:val="006632B6"/>
    <w:rsid w:val="00665389"/>
    <w:rsid w:val="00670457"/>
    <w:rsid w:val="006734A5"/>
    <w:rsid w:val="006775BC"/>
    <w:rsid w:val="0068104E"/>
    <w:rsid w:val="006919E0"/>
    <w:rsid w:val="006A05FD"/>
    <w:rsid w:val="006A15FB"/>
    <w:rsid w:val="006A5030"/>
    <w:rsid w:val="006A58FB"/>
    <w:rsid w:val="006C1119"/>
    <w:rsid w:val="006D66B6"/>
    <w:rsid w:val="006E3477"/>
    <w:rsid w:val="00705480"/>
    <w:rsid w:val="00713DAE"/>
    <w:rsid w:val="00721D00"/>
    <w:rsid w:val="007522A4"/>
    <w:rsid w:val="007556F6"/>
    <w:rsid w:val="007576C2"/>
    <w:rsid w:val="007604E4"/>
    <w:rsid w:val="00762868"/>
    <w:rsid w:val="00767A27"/>
    <w:rsid w:val="00775BFF"/>
    <w:rsid w:val="00780D6B"/>
    <w:rsid w:val="007816C8"/>
    <w:rsid w:val="0079336F"/>
    <w:rsid w:val="007A654F"/>
    <w:rsid w:val="007A7837"/>
    <w:rsid w:val="007B71B8"/>
    <w:rsid w:val="007C6F1F"/>
    <w:rsid w:val="007D005C"/>
    <w:rsid w:val="007D0094"/>
    <w:rsid w:val="007E09B5"/>
    <w:rsid w:val="007E55BC"/>
    <w:rsid w:val="007E65D6"/>
    <w:rsid w:val="007E6CA6"/>
    <w:rsid w:val="00804066"/>
    <w:rsid w:val="00804BB4"/>
    <w:rsid w:val="0081493B"/>
    <w:rsid w:val="00816B1E"/>
    <w:rsid w:val="00820483"/>
    <w:rsid w:val="00825CA7"/>
    <w:rsid w:val="008377F0"/>
    <w:rsid w:val="00843C01"/>
    <w:rsid w:val="0084673A"/>
    <w:rsid w:val="00851904"/>
    <w:rsid w:val="008562D5"/>
    <w:rsid w:val="00856825"/>
    <w:rsid w:val="0086459E"/>
    <w:rsid w:val="00865208"/>
    <w:rsid w:val="0086668D"/>
    <w:rsid w:val="00875F07"/>
    <w:rsid w:val="00882281"/>
    <w:rsid w:val="00884D92"/>
    <w:rsid w:val="0088510C"/>
    <w:rsid w:val="0088616C"/>
    <w:rsid w:val="0089234C"/>
    <w:rsid w:val="008944BA"/>
    <w:rsid w:val="00894E6B"/>
    <w:rsid w:val="008B121E"/>
    <w:rsid w:val="008C100E"/>
    <w:rsid w:val="008C1E4D"/>
    <w:rsid w:val="008C2F8A"/>
    <w:rsid w:val="008E140B"/>
    <w:rsid w:val="008F06C7"/>
    <w:rsid w:val="008F63BA"/>
    <w:rsid w:val="00904FB9"/>
    <w:rsid w:val="00917A7A"/>
    <w:rsid w:val="009219CB"/>
    <w:rsid w:val="009275C7"/>
    <w:rsid w:val="0094195D"/>
    <w:rsid w:val="00941E4B"/>
    <w:rsid w:val="00952444"/>
    <w:rsid w:val="0096349E"/>
    <w:rsid w:val="009750E2"/>
    <w:rsid w:val="00977722"/>
    <w:rsid w:val="0099730D"/>
    <w:rsid w:val="009A665D"/>
    <w:rsid w:val="009A6768"/>
    <w:rsid w:val="009A70B8"/>
    <w:rsid w:val="009B1ED8"/>
    <w:rsid w:val="009D5D3E"/>
    <w:rsid w:val="009E2CD0"/>
    <w:rsid w:val="009E413D"/>
    <w:rsid w:val="009F67EC"/>
    <w:rsid w:val="00A24C2E"/>
    <w:rsid w:val="00A30373"/>
    <w:rsid w:val="00A34DFF"/>
    <w:rsid w:val="00A36359"/>
    <w:rsid w:val="00A60782"/>
    <w:rsid w:val="00A72014"/>
    <w:rsid w:val="00A73FC7"/>
    <w:rsid w:val="00A77D79"/>
    <w:rsid w:val="00A8272D"/>
    <w:rsid w:val="00A8557F"/>
    <w:rsid w:val="00A86DD6"/>
    <w:rsid w:val="00AB2FE7"/>
    <w:rsid w:val="00AB38D9"/>
    <w:rsid w:val="00AB4149"/>
    <w:rsid w:val="00AC568C"/>
    <w:rsid w:val="00AC7494"/>
    <w:rsid w:val="00AD09BB"/>
    <w:rsid w:val="00AE737D"/>
    <w:rsid w:val="00B00BBC"/>
    <w:rsid w:val="00B077F4"/>
    <w:rsid w:val="00B14C7C"/>
    <w:rsid w:val="00B33744"/>
    <w:rsid w:val="00B341B6"/>
    <w:rsid w:val="00B448BC"/>
    <w:rsid w:val="00B508A4"/>
    <w:rsid w:val="00B52D40"/>
    <w:rsid w:val="00B663E4"/>
    <w:rsid w:val="00B70D4D"/>
    <w:rsid w:val="00B80E95"/>
    <w:rsid w:val="00B9144F"/>
    <w:rsid w:val="00B94107"/>
    <w:rsid w:val="00BA2B4E"/>
    <w:rsid w:val="00BA412B"/>
    <w:rsid w:val="00BC324C"/>
    <w:rsid w:val="00BE1AEA"/>
    <w:rsid w:val="00C019B9"/>
    <w:rsid w:val="00C024B9"/>
    <w:rsid w:val="00C13515"/>
    <w:rsid w:val="00C15860"/>
    <w:rsid w:val="00C42607"/>
    <w:rsid w:val="00C515D3"/>
    <w:rsid w:val="00C55DFF"/>
    <w:rsid w:val="00C67019"/>
    <w:rsid w:val="00C7030A"/>
    <w:rsid w:val="00CB1B01"/>
    <w:rsid w:val="00CB4E38"/>
    <w:rsid w:val="00CB7FC7"/>
    <w:rsid w:val="00CC223B"/>
    <w:rsid w:val="00CD3B61"/>
    <w:rsid w:val="00CD4ECB"/>
    <w:rsid w:val="00CE294C"/>
    <w:rsid w:val="00CE7392"/>
    <w:rsid w:val="00CF34BB"/>
    <w:rsid w:val="00CF5932"/>
    <w:rsid w:val="00D03C87"/>
    <w:rsid w:val="00D10EA2"/>
    <w:rsid w:val="00D3732F"/>
    <w:rsid w:val="00D379C5"/>
    <w:rsid w:val="00D41BFF"/>
    <w:rsid w:val="00D430C1"/>
    <w:rsid w:val="00D46447"/>
    <w:rsid w:val="00D81019"/>
    <w:rsid w:val="00D86B9A"/>
    <w:rsid w:val="00D8771D"/>
    <w:rsid w:val="00D87A4D"/>
    <w:rsid w:val="00DA35B8"/>
    <w:rsid w:val="00DB2513"/>
    <w:rsid w:val="00DC09F2"/>
    <w:rsid w:val="00DD0D1A"/>
    <w:rsid w:val="00DD1C5F"/>
    <w:rsid w:val="00DF121E"/>
    <w:rsid w:val="00DF2452"/>
    <w:rsid w:val="00DF58CA"/>
    <w:rsid w:val="00E039D2"/>
    <w:rsid w:val="00E16017"/>
    <w:rsid w:val="00E23D0D"/>
    <w:rsid w:val="00E26DC5"/>
    <w:rsid w:val="00E305F6"/>
    <w:rsid w:val="00E5117D"/>
    <w:rsid w:val="00E53A40"/>
    <w:rsid w:val="00E60764"/>
    <w:rsid w:val="00E63344"/>
    <w:rsid w:val="00E83CDA"/>
    <w:rsid w:val="00E85689"/>
    <w:rsid w:val="00EA5F96"/>
    <w:rsid w:val="00EB404A"/>
    <w:rsid w:val="00ED1491"/>
    <w:rsid w:val="00EF36DC"/>
    <w:rsid w:val="00F25B1A"/>
    <w:rsid w:val="00F40A64"/>
    <w:rsid w:val="00F510BB"/>
    <w:rsid w:val="00F60245"/>
    <w:rsid w:val="00F7234D"/>
    <w:rsid w:val="00F75F9A"/>
    <w:rsid w:val="00F82D94"/>
    <w:rsid w:val="00F83F19"/>
    <w:rsid w:val="00F957C3"/>
    <w:rsid w:val="00FA0E1D"/>
    <w:rsid w:val="00FA27F6"/>
    <w:rsid w:val="00FA6F38"/>
    <w:rsid w:val="00FB46F6"/>
    <w:rsid w:val="00FE75D5"/>
    <w:rsid w:val="00FF5BFB"/>
    <w:rsid w:val="00FF7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6C3285"/>
  <w15:docId w15:val="{74D62021-CF2A-4CE4-94D6-30DB85227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4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4D92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884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4D92"/>
    <w:rPr>
      <w:rFonts w:ascii="Calibri" w:eastAsia="Calibri" w:hAnsi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07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0782"/>
    <w:rPr>
      <w:rFonts w:ascii="Tahoma" w:eastAsia="Calibri" w:hAnsi="Tahoma" w:cs="Tahoma"/>
      <w:color w:val="000000"/>
      <w:sz w:val="16"/>
      <w:szCs w:val="16"/>
    </w:rPr>
  </w:style>
  <w:style w:type="paragraph" w:styleId="Tekstpodstawowy">
    <w:name w:val="Body Text"/>
    <w:basedOn w:val="Normalny"/>
    <w:link w:val="TekstpodstawowyZnak"/>
    <w:rsid w:val="00EB404A"/>
    <w:pPr>
      <w:spacing w:after="120" w:line="240" w:lineRule="auto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B404A"/>
    <w:rPr>
      <w:rFonts w:ascii="Times New Roman" w:eastAsia="Times New Roman" w:hAnsi="Times New Roman" w:cs="Times New Roman"/>
      <w:sz w:val="24"/>
      <w:szCs w:val="20"/>
    </w:rPr>
  </w:style>
  <w:style w:type="paragraph" w:styleId="Akapitzlist">
    <w:name w:val="List Paragraph"/>
    <w:basedOn w:val="Normalny"/>
    <w:uiPriority w:val="34"/>
    <w:qFormat/>
    <w:rsid w:val="006775B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80406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040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04066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40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4066"/>
    <w:rPr>
      <w:rFonts w:ascii="Calibri" w:eastAsia="Calibri" w:hAnsi="Calibri" w:cs="Calibri"/>
      <w:b/>
      <w:bCs/>
      <w:color w:val="000000"/>
      <w:sz w:val="20"/>
      <w:szCs w:val="20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3D57D8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eastAsiaTheme="minorEastAsia" w:hAnsi="Times" w:cs="Arial"/>
      <w:color w:val="auto"/>
      <w:sz w:val="24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83F8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83F8C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83F8C"/>
    <w:rPr>
      <w:vertAlign w:val="superscript"/>
    </w:rPr>
  </w:style>
  <w:style w:type="paragraph" w:customStyle="1" w:styleId="USTustnpkodeksu">
    <w:name w:val="UST(§) – ust. (§ np. kodeksu)"/>
    <w:basedOn w:val="Normalny"/>
    <w:uiPriority w:val="12"/>
    <w:qFormat/>
    <w:rsid w:val="0021295B"/>
    <w:pPr>
      <w:suppressAutoHyphens/>
      <w:autoSpaceDE w:val="0"/>
      <w:autoSpaceDN w:val="0"/>
      <w:adjustRightInd w:val="0"/>
      <w:spacing w:after="0" w:line="360" w:lineRule="auto"/>
      <w:ind w:firstLine="510"/>
      <w:jc w:val="both"/>
    </w:pPr>
    <w:rPr>
      <w:rFonts w:ascii="Times" w:eastAsiaTheme="minorEastAsia" w:hAnsi="Times" w:cs="Arial"/>
      <w:bCs/>
      <w:color w:val="auto"/>
      <w:sz w:val="24"/>
      <w:szCs w:val="20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21295B"/>
    <w:pPr>
      <w:spacing w:after="0" w:line="360" w:lineRule="auto"/>
      <w:ind w:left="1020" w:hanging="510"/>
      <w:jc w:val="both"/>
    </w:pPr>
    <w:rPr>
      <w:rFonts w:ascii="Times" w:eastAsiaTheme="minorEastAsia" w:hAnsi="Times" w:cs="Arial"/>
      <w:bCs/>
      <w:color w:val="auto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D245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D2451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2451"/>
    <w:rPr>
      <w:vertAlign w:val="superscript"/>
    </w:rPr>
  </w:style>
  <w:style w:type="paragraph" w:customStyle="1" w:styleId="divparagraph">
    <w:name w:val="div.paragraph"/>
    <w:uiPriority w:val="99"/>
    <w:rsid w:val="00BA412B"/>
    <w:pPr>
      <w:widowControl w:val="0"/>
      <w:autoSpaceDE w:val="0"/>
      <w:autoSpaceDN w:val="0"/>
      <w:adjustRightInd w:val="0"/>
      <w:spacing w:after="0" w:line="40" w:lineRule="atLeast"/>
    </w:pPr>
    <w:rPr>
      <w:rFonts w:ascii="Helvetica" w:hAnsi="Helvetica" w:cs="Helvetica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07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88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56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05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140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046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DB4AA1-3AC3-4F46-8052-0F742B563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2167</Words>
  <Characters>13006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Siwek-Ślusarek Anna</dc:creator>
  <cp:lastModifiedBy>Misiec Ewa</cp:lastModifiedBy>
  <cp:revision>2</cp:revision>
  <cp:lastPrinted>2020-03-11T07:33:00Z</cp:lastPrinted>
  <dcterms:created xsi:type="dcterms:W3CDTF">2020-10-08T11:37:00Z</dcterms:created>
  <dcterms:modified xsi:type="dcterms:W3CDTF">2020-10-08T11:37:00Z</dcterms:modified>
</cp:coreProperties>
</file>